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版本号：ZCSP-渭南市-2025-0077020251014001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市级农业专项项目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ZCSP-渭南市-2025-00770</w:t>
      </w:r>
      <w:r>
        <w:br/>
      </w:r>
      <w:r>
        <w:br/>
      </w:r>
      <w:r>
        <w:br/>
      </w:r>
    </w:p>
    <w:p>
      <w:pPr>
        <w:pStyle w:val="null3"/>
        <w:jc w:val="center"/>
        <w:outlineLvl w:val="2"/>
      </w:pPr>
      <w:r>
        <w:rPr>
          <w:rFonts w:ascii="仿宋_GB2312" w:hAnsi="仿宋_GB2312" w:cs="仿宋_GB2312" w:eastAsia="仿宋_GB2312"/>
          <w:sz w:val="28"/>
          <w:b/>
        </w:rPr>
        <w:t>渭南市农业技术推广中心</w:t>
      </w:r>
    </w:p>
    <w:p>
      <w:pPr>
        <w:pStyle w:val="null3"/>
        <w:jc w:val="center"/>
        <w:outlineLvl w:val="2"/>
      </w:pPr>
      <w:r>
        <w:rPr>
          <w:rFonts w:ascii="仿宋_GB2312" w:hAnsi="仿宋_GB2312" w:cs="仿宋_GB2312" w:eastAsia="仿宋_GB2312"/>
          <w:sz w:val="28"/>
          <w:b/>
        </w:rPr>
        <w:t>陕西新缘易加项目管理有限责任公司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陕西新缘易加项目管理有限责任公司</w:t>
      </w:r>
      <w:r>
        <w:rPr>
          <w:rFonts w:ascii="仿宋_GB2312" w:hAnsi="仿宋_GB2312" w:cs="仿宋_GB2312" w:eastAsia="仿宋_GB2312"/>
        </w:rPr>
        <w:t>（以下简称“代理机构”）受</w:t>
      </w:r>
      <w:r>
        <w:rPr>
          <w:rFonts w:ascii="仿宋_GB2312" w:hAnsi="仿宋_GB2312" w:cs="仿宋_GB2312" w:eastAsia="仿宋_GB2312"/>
        </w:rPr>
        <w:t>渭南市农业技术推广中心</w:t>
      </w:r>
      <w:r>
        <w:rPr>
          <w:rFonts w:ascii="仿宋_GB2312" w:hAnsi="仿宋_GB2312" w:cs="仿宋_GB2312" w:eastAsia="仿宋_GB2312"/>
        </w:rPr>
        <w:t>委托，拟对</w:t>
      </w:r>
      <w:r>
        <w:rPr>
          <w:rFonts w:ascii="仿宋_GB2312" w:hAnsi="仿宋_GB2312" w:cs="仿宋_GB2312" w:eastAsia="仿宋_GB2312"/>
        </w:rPr>
        <w:t>市级农业专项项目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市级农业专项项目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开展科学施肥改良盐碱地技术研究与示范，在小麦播种前施用有机肥料作为基肥，在小麦起身期、孕穗期分两次追施含腐植酸水溶肥料； 苹果蠹蛾防控，苹果黑星病等果树重大病虫监测与绿色防控。开展苹果蠹蛾监测调查，建立防控示范区，开展防效调查等。建立监测与绿色防控示范区、开展重大病虫监测与绿色防控技术研究试验。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采购包1（市级农业专项项目）：属于专门面向中小企业采购。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1、营业执照：具有独立承担民事责任能力的企业法人或其他组织，提供合格有效的企业法人营业执照副本，税务登记证副本，组织机构代码证副本（或多证合一的统一社会信用代码的营业执照副本）；</w:t>
      </w:r>
    </w:p>
    <w:p>
      <w:pPr>
        <w:pStyle w:val="null3"/>
      </w:pPr>
      <w:r>
        <w:rPr>
          <w:rFonts w:ascii="仿宋_GB2312" w:hAnsi="仿宋_GB2312" w:cs="仿宋_GB2312" w:eastAsia="仿宋_GB2312"/>
        </w:rPr>
        <w:t>2、授权委托书：供应商应授权合法的人员参加采购全过程，法定代表人直接参加的须提交其身份证原件及法定代表人证明书，法定代表人授权代表参加采购的，须出具法定代表人授权书及被授权人身份证（原件）；</w:t>
      </w:r>
    </w:p>
    <w:p>
      <w:pPr>
        <w:pStyle w:val="null3"/>
      </w:pPr>
      <w:r>
        <w:rPr>
          <w:rFonts w:ascii="仿宋_GB2312" w:hAnsi="仿宋_GB2312" w:cs="仿宋_GB2312" w:eastAsia="仿宋_GB2312"/>
        </w:rPr>
        <w:t>3、财务状况报告：提供2024年度经审计的财务报告或开标前六个月内其基本账户银行出具的资信证明或财政部门认可的政府采购专业担保机构出具的担保函；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4、履约能力：提供具有履行合同所必需的设备和专业技术能力的承诺；</w:t>
      </w:r>
    </w:p>
    <w:p>
      <w:pPr>
        <w:pStyle w:val="null3"/>
      </w:pPr>
      <w:r>
        <w:rPr>
          <w:rFonts w:ascii="仿宋_GB2312" w:hAnsi="仿宋_GB2312" w:cs="仿宋_GB2312" w:eastAsia="仿宋_GB2312"/>
        </w:rPr>
        <w:t>5、社会保障资金缴纳证明：提供供应商近一年任意一个月的社会保障资金缴存单据或社保机构开具的社会保险参保缴费情况证明；依法不需要缴纳社会保障资金的应提供相关文件证明；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6、税收缴纳证明：提供供应商近一年已缴纳任意一个月完税凭证或税务机关开具的完税证明（任意税种）；依法免税的应提供相关文件证明；</w:t>
      </w:r>
    </w:p>
    <w:p>
      <w:pPr>
        <w:pStyle w:val="null3"/>
      </w:pPr>
      <w:r>
        <w:rPr>
          <w:rFonts w:ascii="仿宋_GB2312" w:hAnsi="仿宋_GB2312" w:cs="仿宋_GB2312" w:eastAsia="仿宋_GB2312"/>
        </w:rPr>
        <w:t>7、信用信息：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p>
      <w:pPr>
        <w:pStyle w:val="null3"/>
      </w:pPr>
      <w:r>
        <w:rPr>
          <w:rFonts w:ascii="仿宋_GB2312" w:hAnsi="仿宋_GB2312" w:cs="仿宋_GB2312" w:eastAsia="仿宋_GB2312"/>
        </w:rPr>
        <w:t>8、无重大违法记录声明：供应商须出具参加采购活动前三年内，在经营活动中没有重大违法记录声明原件。</w:t>
      </w:r>
    </w:p>
    <w:p>
      <w:pPr>
        <w:pStyle w:val="null3"/>
      </w:pPr>
      <w:r>
        <w:rPr>
          <w:rFonts w:ascii="仿宋_GB2312" w:hAnsi="仿宋_GB2312" w:cs="仿宋_GB2312" w:eastAsia="仿宋_GB2312"/>
        </w:rPr>
        <w:t>9、磋商保证金：按磋商文件要求提交磋商保证金并附磋商保证金缴纳凭证。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15009133865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陕西新缘易加项目管理有限责任公司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陕西省渭南市临渭区渭南市临渭区行政审批服务局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19891381909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开户名称：陕西新缘易加项目管理有限责任公司</w:t>
            </w:r>
          </w:p>
          <w:p>
            <w:pPr>
              <w:pStyle w:val="null3"/>
            </w:pPr>
            <w:r>
              <w:rPr>
                <w:rFonts w:ascii="仿宋_GB2312" w:hAnsi="仿宋_GB2312" w:cs="仿宋_GB2312" w:eastAsia="仿宋_GB2312"/>
              </w:rPr>
              <w:t>开户银行：中国建设银行股份有限公司渭南临渭区支行</w:t>
            </w:r>
          </w:p>
          <w:p>
            <w:pPr>
              <w:pStyle w:val="null3"/>
            </w:pPr>
            <w:r>
              <w:rPr>
                <w:rFonts w:ascii="仿宋_GB2312" w:hAnsi="仿宋_GB2312" w:cs="仿宋_GB2312" w:eastAsia="仿宋_GB2312"/>
              </w:rPr>
              <w:t>银行账号：61050164110800000978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关于降低部分建设项目收费标准规范收费行为等有关问题的通知》（发改价格[2011]534号）、依据国家发展改革委员会办公厅颁发的《关于招标代理服务收费有关问题的通知》（发改办价格[2003]857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渭南市农业技术推广中心</w:t>
      </w:r>
      <w:r>
        <w:rPr>
          <w:rFonts w:ascii="仿宋_GB2312" w:hAnsi="仿宋_GB2312" w:cs="仿宋_GB2312" w:eastAsia="仿宋_GB2312"/>
        </w:rPr>
        <w:t>和</w:t>
      </w:r>
      <w:r>
        <w:rPr>
          <w:rFonts w:ascii="仿宋_GB2312" w:hAnsi="仿宋_GB2312" w:cs="仿宋_GB2312" w:eastAsia="仿宋_GB2312"/>
        </w:rPr>
        <w:t>陕西新缘易加项目管理有限责任公司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陕西新缘易加项目管理有限责任公司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陕西新缘易加项目管理有限责任公司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符合国家相关法律、法规及行业质量标准和采购人要求，达到合格标准，通过各级项目评审。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联系人：赵倩</w:t>
      </w:r>
    </w:p>
    <w:p>
      <w:pPr>
        <w:pStyle w:val="null3"/>
      </w:pPr>
      <w:r>
        <w:rPr>
          <w:rFonts w:ascii="仿宋_GB2312" w:hAnsi="仿宋_GB2312" w:cs="仿宋_GB2312" w:eastAsia="仿宋_GB2312"/>
        </w:rPr>
        <w:t>联系电话：19891381909</w:t>
      </w:r>
    </w:p>
    <w:p>
      <w:pPr>
        <w:pStyle w:val="null3"/>
      </w:pPr>
      <w:r>
        <w:rPr>
          <w:rFonts w:ascii="仿宋_GB2312" w:hAnsi="仿宋_GB2312" w:cs="仿宋_GB2312" w:eastAsia="仿宋_GB2312"/>
        </w:rPr>
        <w:t>地址：渭南市临渭区招二路南段人文商务楼3楼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盐碱地改造利用技术研究与示范，引进推广盐碱地种养新技术新模式;苹果蠹蛾防控,苹果黑星病等果树重大病虫监测与绿色防控。开展苹果蠹蛾监测调查，建立防控示范区，开展防效调查等。建立监测与绿色防控示范区、开展重大病虫监测与绿色防控技术研究试验，购置采购杀虫灯、粘虫板、农药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市级农业专项项目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标的名称：市级农业专项项目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4"/>
                <w:b/>
              </w:rPr>
              <w:t>采购项目概况</w:t>
            </w:r>
            <w:r>
              <w:rPr>
                <w:rFonts w:ascii="仿宋_GB2312" w:hAnsi="仿宋_GB2312" w:cs="仿宋_GB2312" w:eastAsia="仿宋_GB2312"/>
                <w:sz w:val="24"/>
                <w:b/>
              </w:rPr>
              <w:t>：</w:t>
            </w:r>
          </w:p>
          <w:p>
            <w:pPr>
              <w:pStyle w:val="null3"/>
              <w:ind w:firstLine="56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功能要求</w:t>
            </w:r>
            <w:r>
              <w:rPr>
                <w:rFonts w:ascii="仿宋_GB2312" w:hAnsi="仿宋_GB2312" w:cs="仿宋_GB2312" w:eastAsia="仿宋_GB2312"/>
                <w:sz w:val="24"/>
              </w:rPr>
              <w:t>:为改进和完善盐渍化土壤改良培肥技术，本项目计划开展科学施肥改良盐碱地技术研究与示范，示范带动大面积盐碱地改良;开展苹果蠹蛾监测调查，建立防控示范区，开展防效调查等。建立监测与绿色防控示范区、开展重大病虫监测与绿色防控技术研究试验。</w:t>
            </w:r>
          </w:p>
          <w:p>
            <w:pPr>
              <w:pStyle w:val="null3"/>
              <w:jc w:val="both"/>
            </w:pPr>
            <w:r>
              <w:rPr>
                <w:rFonts w:ascii="仿宋_GB2312" w:hAnsi="仿宋_GB2312" w:cs="仿宋_GB2312" w:eastAsia="仿宋_GB2312"/>
                <w:sz w:val="24"/>
              </w:rPr>
              <w:t xml:space="preserve">       2)采购内容为:开展科学施肥改良盐碱地技术研究与示范，在小麦播种前施用有机肥料作为基肥，在小麦起身期、孕穗期分两次追施含腐植酸水溶肥料;苹果蠹蛾防控，苹果黑星病等果树重大病虫监测与绿色防控。开展苹果蠹蛾监测调查，建立防控示范区，开展防效调查等。建立监测与绿色防控示范区、开展重大病虫监测与绿色防控技术研究试验。</w:t>
            </w:r>
          </w:p>
          <w:tbl>
            <w:tblPr>
              <w:tblBorders>
                <w:top w:val="none" w:color="000000" w:sz="4"/>
                <w:left w:val="none" w:color="000000" w:sz="4"/>
                <w:bottom w:val="none" w:color="000000" w:sz="4"/>
                <w:right w:val="none" w:color="000000" w:sz="4"/>
                <w:insideH w:val="none"/>
                <w:insideV w:val="none"/>
              </w:tblBorders>
            </w:tblPr>
            <w:tblGrid>
              <w:gridCol w:w="237"/>
              <w:gridCol w:w="403"/>
              <w:gridCol w:w="1914"/>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参数性质</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服务内容：</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小麦播种前施用有机肥料作为基肥，在小麦起身期、孕穗期分两次追施含腐植酸水溶肥料。选用施肥机施肥</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使用药剂清园建立苹果蠹蛾、苹果黑星病等果树重大病虫监测与绿色防控区。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(1)要求有机肥料以畜禽粪便为原料,有机质含量&gt;30%,其他指标符合NY525-2021标准要求;含腐植酸水溶肥料，腐植酸含量&gt;220g/L，其他指标符合NY1106标准要求。</w:t>
                  </w:r>
                </w:p>
                <w:p>
                  <w:pPr>
                    <w:pStyle w:val="null3"/>
                    <w:ind w:firstLine="480"/>
                    <w:jc w:val="left"/>
                  </w:pPr>
                  <w:r>
                    <w:rPr>
                      <w:rFonts w:ascii="仿宋_GB2312" w:hAnsi="仿宋_GB2312" w:cs="仿宋_GB2312" w:eastAsia="仿宋_GB2312"/>
                      <w:sz w:val="24"/>
                    </w:rPr>
                    <w:t>(2)有机肥料施入田块后要进行旋耕，旋耕深度不小于30cm;含腐植酸水溶肥料在小麦起身期、孕穗期分两次施入田块。</w:t>
                  </w:r>
                </w:p>
                <w:p>
                  <w:pPr>
                    <w:pStyle w:val="null3"/>
                    <w:ind w:firstLine="480"/>
                    <w:jc w:val="left"/>
                  </w:pPr>
                  <w:r>
                    <w:rPr>
                      <w:rFonts w:ascii="仿宋_GB2312" w:hAnsi="仿宋_GB2312" w:cs="仿宋_GB2312" w:eastAsia="仿宋_GB2312"/>
                      <w:sz w:val="24"/>
                    </w:rPr>
                    <w:t>(3)苹果药剂清园服务须达到实现病虫害源头控制，有效减少越冬病虫害基数。</w:t>
                  </w:r>
                </w:p>
                <w:p>
                  <w:pPr>
                    <w:pStyle w:val="null3"/>
                    <w:ind w:firstLine="480"/>
                    <w:jc w:val="left"/>
                  </w:pPr>
                  <w:r>
                    <w:rPr>
                      <w:rFonts w:ascii="仿宋_GB2312" w:hAnsi="仿宋_GB2312" w:cs="仿宋_GB2312" w:eastAsia="仿宋_GB2312"/>
                      <w:sz w:val="24"/>
                    </w:rPr>
                    <w:t>(4)选择药剂要符合国家标准，三证齐全，安全环保。</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服务面积：</w:t>
                  </w:r>
                </w:p>
                <w:p>
                  <w:pPr>
                    <w:pStyle w:val="null3"/>
                    <w:ind w:firstLine="480"/>
                    <w:jc w:val="left"/>
                  </w:pPr>
                  <w:r>
                    <w:rPr>
                      <w:rFonts w:ascii="仿宋_GB2312" w:hAnsi="仿宋_GB2312" w:cs="仿宋_GB2312" w:eastAsia="仿宋_GB2312"/>
                      <w:sz w:val="24"/>
                    </w:rPr>
                    <w:t>施肥面积</w:t>
                  </w:r>
                  <w:r>
                    <w:rPr>
                      <w:rFonts w:ascii="仿宋_GB2312" w:hAnsi="仿宋_GB2312" w:cs="仿宋_GB2312" w:eastAsia="仿宋_GB2312"/>
                      <w:sz w:val="24"/>
                    </w:rPr>
                    <w:t>20亩;</w:t>
                  </w:r>
                </w:p>
                <w:p>
                  <w:pPr>
                    <w:pStyle w:val="null3"/>
                    <w:ind w:firstLine="480"/>
                    <w:jc w:val="left"/>
                  </w:pPr>
                  <w:r>
                    <w:rPr>
                      <w:rFonts w:ascii="仿宋_GB2312" w:hAnsi="仿宋_GB2312" w:cs="仿宋_GB2312" w:eastAsia="仿宋_GB2312"/>
                      <w:sz w:val="24"/>
                    </w:rPr>
                    <w:t>苹果蠹蛾防控及苹果黑星病防控面积</w:t>
                  </w:r>
                  <w:r>
                    <w:rPr>
                      <w:rFonts w:ascii="仿宋_GB2312" w:hAnsi="仿宋_GB2312" w:cs="仿宋_GB2312" w:eastAsia="仿宋_GB2312"/>
                      <w:sz w:val="24"/>
                    </w:rPr>
                    <w:t>&gt;16000亩。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服务质量、标准、期限、效率等要求：</w:t>
                  </w:r>
                </w:p>
                <w:p>
                  <w:pPr>
                    <w:pStyle w:val="null3"/>
                    <w:ind w:firstLine="480"/>
                    <w:jc w:val="left"/>
                  </w:pPr>
                  <w:r>
                    <w:rPr>
                      <w:rFonts w:ascii="仿宋_GB2312" w:hAnsi="仿宋_GB2312" w:cs="仿宋_GB2312" w:eastAsia="仿宋_GB2312"/>
                      <w:sz w:val="24"/>
                    </w:rPr>
                    <w:t>1.肥料选择:选择证件齐全(肥料登记证、国家标准/行业标准)的肥料产品。</w:t>
                  </w:r>
                </w:p>
                <w:p>
                  <w:pPr>
                    <w:pStyle w:val="null3"/>
                    <w:ind w:firstLine="480"/>
                    <w:jc w:val="left"/>
                  </w:pPr>
                  <w:r>
                    <w:rPr>
                      <w:rFonts w:ascii="仿宋_GB2312" w:hAnsi="仿宋_GB2312" w:cs="仿宋_GB2312" w:eastAsia="仿宋_GB2312"/>
                      <w:sz w:val="24"/>
                    </w:rPr>
                    <w:t>2.农药选择:选择证件齐全(生产许可证、农药登记证、产品标准)的农药产品。</w:t>
                  </w:r>
                </w:p>
                <w:p>
                  <w:pPr>
                    <w:pStyle w:val="null3"/>
                    <w:ind w:firstLine="480"/>
                    <w:jc w:val="left"/>
                  </w:pPr>
                  <w:r>
                    <w:rPr>
                      <w:rFonts w:ascii="仿宋_GB2312" w:hAnsi="仿宋_GB2312" w:cs="仿宋_GB2312" w:eastAsia="仿宋_GB2312"/>
                      <w:sz w:val="24"/>
                    </w:rPr>
                    <w:t>3.成交后，供应商派驻一名项目负责人，一名技术负责人对作业过程中作业进度、服务质量、作业人员管理进行总协调确保技术措施的落实，按时参加采购人组织的相关会议和活动，服从采购人的工作制度和工作规范。</w:t>
                  </w:r>
                </w:p>
                <w:p>
                  <w:pPr>
                    <w:pStyle w:val="null3"/>
                    <w:ind w:firstLine="480"/>
                    <w:jc w:val="left"/>
                  </w:pPr>
                  <w:r>
                    <w:rPr>
                      <w:rFonts w:ascii="仿宋_GB2312" w:hAnsi="仿宋_GB2312" w:cs="仿宋_GB2312" w:eastAsia="仿宋_GB2312"/>
                      <w:sz w:val="24"/>
                    </w:rPr>
                    <w:t>4.成交供应商向采购人提交施工作业过程性资料，按相关要求执行。</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5</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其他要求：</w:t>
                  </w:r>
                </w:p>
                <w:p>
                  <w:pPr>
                    <w:pStyle w:val="null3"/>
                    <w:ind w:firstLine="480"/>
                    <w:jc w:val="left"/>
                  </w:pPr>
                  <w:r>
                    <w:rPr>
                      <w:rFonts w:ascii="仿宋_GB2312" w:hAnsi="仿宋_GB2312" w:cs="仿宋_GB2312" w:eastAsia="仿宋_GB2312"/>
                      <w:sz w:val="24"/>
                    </w:rPr>
                    <w:t>1.成交供应商向采购人提交服务过程性资料按相关要求执行</w:t>
                  </w:r>
                </w:p>
                <w:p>
                  <w:pPr>
                    <w:pStyle w:val="null3"/>
                    <w:ind w:firstLine="480"/>
                    <w:jc w:val="left"/>
                  </w:pPr>
                  <w:r>
                    <w:rPr>
                      <w:rFonts w:ascii="仿宋_GB2312" w:hAnsi="仿宋_GB2312" w:cs="仿宋_GB2312" w:eastAsia="仿宋_GB2312"/>
                      <w:sz w:val="24"/>
                    </w:rPr>
                    <w:t>2.有各类突发事件的应急预案和措施，有明确具体的承诺。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验收标准：符合国家相关法律、法规及行业质量标准和采购人要求，达到合格标准，通过各级项目评审。 验收依据： （1）合同、竞争性磋商文件、磋商响应文件及承诺。 （2）国家及当地相关的标准和规范。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双方在签订合同时协商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成交供应商在领取成交通知书前将纸质版响应文件正本1份、副本1份、电子版（U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具有独立承担民事责任能力的企业法人或其他组织，提供合格有效的企业法人营业执照副本，税务登记证副本，组织机构代码证副本（或多证合一的统一社会信用代码的营业执照副本）；</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供应商应授权合法的人员参加采购全过程，法定代表人直接参加的须提交其身份证原件及法定代表人证明书，法定代表人授权代表参加采购的，须出具法定代表人授权书及被授权人身份证（原件）；</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提供供应商近一年任意一个月的社会保障资金缴存单据或社保机构开具的社会保险参保缴费情况证明；依法不需要缴纳社会保障资金的应提供相关文件证明；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提供供应商近一年已缴纳任意一个月完税凭证或税务机关开具的完税证明（任意税种）；依法免税的应提供相关文件证明；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供应商须出具参加采购活动前三年内，在经营活动中没有重大违法记录声明原件。</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按磋商文件要求提交磋商保证金并附磋商保证金缴纳凭证。</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与营业执照等证明材料一致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供应商针对本项目的总体服务方案，包括但不限于①项目需求理解；②服务计划；③作业进度；④作业质量；⑤重点部位作业方法；⑥防治作业专业技术力量。 二、赋分标准(满分18分) 整体服务方案内容完善、全面合理、架构完整、层次清楚、具有针对性和可实施性，得18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供应商针对本项目提供详细的人员配备方案包括但不限于①人员数量、分工、从业经验等；②岗位配备及职责；③人员培训（岗前培训、安全培训、定期培训）。 二、赋分标准：（满分9分） 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一、评审内容: 供应商针对本项目需求提供喷防器械、药剂、材料、工具等配置方案（包括物料配置清单、使用功能等内容）。 二、赋分标准(7分): 整体方案内容完善、全面合理、架构完整、层次清楚、具有针对性和可实施性，得7分，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供应商针对本项目制定的质量保障方案，包括但不限于①服务质量保障体系；②药剂用量使用标准；③药剂符合国家标准，证明材料充足；④防治效果质量保障；⑤技术组织保障措施；⑥后期补防措施。 二、赋分标准(15分): 整体方案内容完善、全面合理、架构完整、层次清楚、具有针对性和可实施性，得15分，缺失1项扣2.5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供应商针对本项目制定的安全保障方案，包括但不限于①在作业过程中人员安全保障措施;②作业环境安全防范;③药剂使用安全保障。 二、赋分标准(9分): 整体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供应商针对本项目的服务承诺包括但不限于：①防治效果的检验②出现特殊情况的后期补防③项目交付后出现缺陷的响应时间及措施。 二、赋分标准(6分): 承诺内容完善、全面合理、架构完整、层次清楚、具有针对性和可实施性，得6分，缺失1项扣2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提供2022年10月1日至响应文件递交截止日前已完成的类似业绩（提供合同复印件加盖公章，时间以合同签订日期为准）。每份计2分，计满10分为止。不能提供的不得分。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供应商针对本项目制定的应急方案，包括但不限于①在作业过程中出现突发问题的应急处置方案;②应急响应时间:③出现突发状况应急人员安排。 二、赋分标准(6分): 整体方案内容完善、全面合理、架构完整、层次清楚、具有针对性和可实施性，得6分，缺失1项扣2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注：1、计算分数时四舍五入取小数点后两位； 2.本项目专门面向中小企业，不再执行价格折扣；</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