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版本号：ZCSP-渭南市-2025-00756、SCZB2025-CS-2661-120251014001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渭南市农村乱占耕地建非住宅类房屋整治市级核查汇总项目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ZCSP-渭南市-2025-00756、SCZB2025-CS-2661-1</w:t>
      </w:r>
      <w:r>
        <w:br/>
      </w:r>
      <w:r>
        <w:br/>
      </w:r>
      <w:r>
        <w:br/>
      </w:r>
    </w:p>
    <w:p>
      <w:pPr>
        <w:pStyle w:val="null3"/>
        <w:jc w:val="center"/>
        <w:outlineLvl w:val="2"/>
      </w:pPr>
      <w:r>
        <w:rPr>
          <w:rFonts w:ascii="仿宋_GB2312" w:hAnsi="仿宋_GB2312" w:cs="仿宋_GB2312" w:eastAsia="仿宋_GB2312"/>
          <w:sz w:val="28"/>
          <w:b/>
        </w:rPr>
        <w:t>渭南市自然资源和规划局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渭南市自然资源和规划局</w:t>
      </w:r>
      <w:r>
        <w:rPr>
          <w:rFonts w:ascii="仿宋_GB2312" w:hAnsi="仿宋_GB2312" w:cs="仿宋_GB2312" w:eastAsia="仿宋_GB2312"/>
        </w:rPr>
        <w:t>委托，拟对</w:t>
      </w:r>
      <w:r>
        <w:rPr>
          <w:rFonts w:ascii="仿宋_GB2312" w:hAnsi="仿宋_GB2312" w:cs="仿宋_GB2312" w:eastAsia="仿宋_GB2312"/>
        </w:rPr>
        <w:t>渭南市农村乱占耕地建非住宅类房屋整治市级核查汇总项目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ZCSP-渭南市-2025-00756、SCZB2025-CS-2661-1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渭南市农村乱占耕地建非住宅类房屋整治市级核查汇总项目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渭南市上报自然资源部农村乱占耕地建非住宅类房屋10946个图斑，按照自然资源部、省自然资源厅整治工作方案部署安排，组织11个县（市、区）结合前期摸排成果，开展举证、整改工作；2025年底原则上完成不低于20%存量问题整治任务，2026年底原则上完成不低于70%，2027年7月底基本完成。根据工作方案要求,整治期间对各县（市、区）在农村乱占耕地建房数据汇交平台上报的信息采集表、整改举证照片、处置信息通过图片对比、举证资料判定、采集信息逻辑关系开展市级审核，并根据国家、省级、市级意见，组织指导县级修改完善上报成果，直至内业复审通过；同时根据整治工作要求对疑似问题图斑组织开展外业核查，确保结果的真实性和准确性。同时根据县（市、区）上报成果，完成市级成果汇总，编制市级核查汇总分析报告，最终按要求完成整治及成果省级、部级上报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采购包1（渭南市农村乱占耕地建非住宅类房屋整治市级核查汇总项目）：属于专门面向中小企业采购。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在递交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2、法定代表人授权书/法定代表人身份证明：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p>
      <w:pPr>
        <w:pStyle w:val="null3"/>
      </w:pPr>
      <w:r>
        <w:rPr>
          <w:rFonts w:ascii="仿宋_GB2312" w:hAnsi="仿宋_GB2312" w:cs="仿宋_GB2312" w:eastAsia="仿宋_GB2312"/>
        </w:rPr>
        <w:t>3、企业资质：供应商具备相关主管部门颁发且在有效期内合格的测绘乙级及以上资质</w:t>
      </w:r>
    </w:p>
    <w:p>
      <w:pPr>
        <w:pStyle w:val="null3"/>
      </w:pPr>
      <w:r>
        <w:rPr>
          <w:rFonts w:ascii="仿宋_GB2312" w:hAnsi="仿宋_GB2312" w:cs="仿宋_GB2312" w:eastAsia="仿宋_GB2312"/>
        </w:rPr>
        <w:t>4、投标人单位负责人为同一人或者 存在直接控股、管理关系的不同投标人，不得同时参加本次采购活动。：投标人单位负责人为同一人或者存在直接控股、管理关系的不同投标人，不得同时参加本次采购活动。</w:t>
      </w:r>
    </w:p>
    <w:p>
      <w:pPr>
        <w:pStyle w:val="null3"/>
      </w:pPr>
      <w:r>
        <w:rPr>
          <w:rFonts w:ascii="仿宋_GB2312" w:hAnsi="仿宋_GB2312" w:cs="仿宋_GB2312" w:eastAsia="仿宋_GB2312"/>
        </w:rPr>
        <w:t>5、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6、非联合体：本项目不接受联合体磋商。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李战锋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0913-2931675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熊磊、张学强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银行账号：102461558014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代理服务费收费标准：参照原国家计委计价格【2002】1980号文和国家发改委发改办价格【2003】857号文的计算方法（按合同包）收取。中标单位的招标代理服务费缴纳信息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渭南市自然资源和规划局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根据自然资源部、陕西省自然资源厅成果要求，以成果通过省、部级审核为标准。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渭南市上报自然资源部农村乱占耕地建非住宅类房屋10946个图斑，按照自然资源部、省自然资源厅整治工作方案部署安排，组织11个县（市、区）结合前期摸排成果，开展举证、整改工作；2025年底原则上完成不低于20%存量问题整治任务，2026年底原则上完成不低于70%，2027年7月底基本完成。根据工作方案要求,整治期间对各县（市、区）在农村乱占耕地建房数据汇交平台上报的信息采集表、整改举证照片、处置信息通过图片对比、举证资料判定、采集信息逻辑关系开展市级审核，并根据国家、省级、市级意见，组织指导县级修改完善上报成果，直至内业复审通过；同时根据整治工作要求对疑似问题图斑组织开展外业核查，确保结果的真实性和准确性。同时根据县（市、区）上报成果，完成市级成果汇总，编制市级核查汇总分析报告，最终按要求完成整治及成果省级、部级上报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渭南市农村乱占耕地建非住宅类房屋整治市级核查汇总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标的名称：渭南市农村乱占耕地建非住宅类房屋整治市级核查汇总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2"/>
              <w:jc w:val="both"/>
            </w:pPr>
            <w:r>
              <w:rPr>
                <w:rFonts w:ascii="仿宋_GB2312" w:hAnsi="仿宋_GB2312" w:cs="仿宋_GB2312" w:eastAsia="仿宋_GB2312"/>
                <w:b/>
              </w:rPr>
              <w:t>一、基本要求</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功能要求：根据渭南市上报自然资源部农村乱占耕地建非住宅类房屋10946个图斑，按照自然资源部、省自然资源厅整治工作方案部署安排，组织11个县（市、区）结合前期摸排成果，开展举证、整改工作；2025年底原则上完成不低于20%存量问题整治任务，2026年底原则上完成不低于70%，2027年7月底基本完成。根据工作方案要求,整治期间对各县（市、区）在农村乱占耕地建房数据汇交平台上报的信息采集表、整改举证照片、处置信息通过</w:t>
            </w:r>
            <w:r>
              <w:rPr>
                <w:rFonts w:ascii="仿宋_GB2312" w:hAnsi="仿宋_GB2312" w:cs="仿宋_GB2312" w:eastAsia="仿宋_GB2312"/>
              </w:rPr>
              <w:t>图片对比、举证资料判定、采集信息逻辑关系开展</w:t>
            </w:r>
            <w:r>
              <w:rPr>
                <w:rFonts w:ascii="仿宋_GB2312" w:hAnsi="仿宋_GB2312" w:cs="仿宋_GB2312" w:eastAsia="仿宋_GB2312"/>
              </w:rPr>
              <w:t>市级审核，并根据国家、省级、市级意见，组织指导县级修改完善上报成果，</w:t>
            </w:r>
            <w:r>
              <w:rPr>
                <w:rFonts w:ascii="仿宋_GB2312" w:hAnsi="仿宋_GB2312" w:cs="仿宋_GB2312" w:eastAsia="仿宋_GB2312"/>
              </w:rPr>
              <w:t>直至内业复审通过；同时根据整治工作要求对疑似问题图斑组织开展外业核查，确保结果的真实性和准确性。</w:t>
            </w:r>
            <w:r>
              <w:rPr>
                <w:rFonts w:ascii="仿宋_GB2312" w:hAnsi="仿宋_GB2312" w:cs="仿宋_GB2312" w:eastAsia="仿宋_GB2312"/>
              </w:rPr>
              <w:t>同时根据县（市、区）上报成果，完成市级成果汇总，编制市级核查汇总分析报告，最终按要求完成整治及成果省级、部级上报工作。</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、服务期限：</w:t>
            </w:r>
            <w:r>
              <w:rPr>
                <w:rFonts w:ascii="仿宋_GB2312" w:hAnsi="仿宋_GB2312" w:cs="仿宋_GB2312" w:eastAsia="仿宋_GB2312"/>
                <w:color w:val="000000"/>
              </w:rPr>
              <w:t>自合同签订之日起至2027年7月底</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、服务地点：陕西省渭南市</w:t>
            </w:r>
          </w:p>
          <w:p>
            <w:pPr>
              <w:pStyle w:val="null3"/>
              <w:ind w:firstLine="402"/>
              <w:jc w:val="both"/>
            </w:pPr>
            <w:r>
              <w:rPr>
                <w:rFonts w:ascii="仿宋_GB2312" w:hAnsi="仿宋_GB2312" w:cs="仿宋_GB2312" w:eastAsia="仿宋_GB2312"/>
                <w:b/>
              </w:rPr>
              <w:t>二、需执行的国家相关标准、行业标准、地方标准或者其他标准、规范标准</w:t>
            </w:r>
          </w:p>
          <w:p>
            <w:pPr>
              <w:pStyle w:val="null3"/>
              <w:ind w:firstLine="400"/>
              <w:jc w:val="both"/>
            </w:pPr>
            <w:r>
              <w:rPr>
                <w:rFonts w:ascii="仿宋_GB2312" w:hAnsi="仿宋_GB2312" w:cs="仿宋_GB2312" w:eastAsia="仿宋_GB2312"/>
              </w:rPr>
              <w:t>按照自然资源部《农村乱占耕地建房问题摸排工作方案》（协调机制办发[2020]1号）、陕西省自然资源厅《关于印发农村乱占耕地建房问题摸排工作实施方案的通知》（陕耕房整治组发[2020]2号）工作方案要求，及时完成县级上报农村乱占耕地建房数据汇交平台信息采集表、举证照片、处置信息审核、分析及汇总等工作。同时，配合完成国家、省级各类检查与成果修改，成果质量顺利通过中、省核查。</w:t>
            </w:r>
          </w:p>
          <w:p>
            <w:pPr>
              <w:pStyle w:val="null3"/>
              <w:ind w:firstLine="402"/>
              <w:jc w:val="both"/>
            </w:pPr>
            <w:r>
              <w:rPr>
                <w:rFonts w:ascii="仿宋_GB2312" w:hAnsi="仿宋_GB2312" w:cs="仿宋_GB2312" w:eastAsia="仿宋_GB2312"/>
                <w:b/>
              </w:rPr>
              <w:t>三、服务指标的内容</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、组织11个县（市、区）开展举证、整改工作。</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、对各县（市、区）上报的信息采集表、整改举证照片、处置信息</w:t>
            </w:r>
            <w:r>
              <w:rPr>
                <w:rFonts w:ascii="仿宋_GB2312" w:hAnsi="仿宋_GB2312" w:cs="仿宋_GB2312" w:eastAsia="仿宋_GB2312"/>
              </w:rPr>
              <w:t>开展</w:t>
            </w:r>
            <w:r>
              <w:rPr>
                <w:rFonts w:ascii="仿宋_GB2312" w:hAnsi="仿宋_GB2312" w:cs="仿宋_GB2312" w:eastAsia="仿宋_GB2312"/>
              </w:rPr>
              <w:t>市级审核。</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、根据国家、省级、市级意见，组织指导县级修改完善上报成果，</w:t>
            </w:r>
            <w:r>
              <w:rPr>
                <w:rFonts w:ascii="仿宋_GB2312" w:hAnsi="仿宋_GB2312" w:cs="仿宋_GB2312" w:eastAsia="仿宋_GB2312"/>
              </w:rPr>
              <w:t>直至内业复审通过。</w:t>
            </w:r>
          </w:p>
          <w:p>
            <w:pPr>
              <w:pStyle w:val="null3"/>
              <w:ind w:firstLine="400"/>
              <w:jc w:val="both"/>
            </w:pPr>
            <w:r>
              <w:rPr>
                <w:rFonts w:ascii="仿宋_GB2312" w:hAnsi="仿宋_GB2312" w:cs="仿宋_GB2312" w:eastAsia="仿宋_GB2312"/>
              </w:rPr>
              <w:t>4</w:t>
            </w:r>
            <w:r>
              <w:rPr>
                <w:rFonts w:ascii="仿宋_GB2312" w:hAnsi="仿宋_GB2312" w:cs="仿宋_GB2312" w:eastAsia="仿宋_GB2312"/>
              </w:rPr>
              <w:t>、开展</w:t>
            </w:r>
            <w:r>
              <w:rPr>
                <w:rFonts w:ascii="仿宋_GB2312" w:hAnsi="仿宋_GB2312" w:cs="仿宋_GB2312" w:eastAsia="仿宋_GB2312"/>
              </w:rPr>
              <w:t>市级成果汇总，编制市级核查汇总分析报告，按要求完成整治及成果省级、部级上报工作。</w:t>
            </w:r>
          </w:p>
          <w:p>
            <w:pPr>
              <w:pStyle w:val="null3"/>
              <w:ind w:firstLine="400"/>
              <w:jc w:val="both"/>
            </w:pPr>
            <w:r>
              <w:rPr>
                <w:rFonts w:ascii="仿宋_GB2312" w:hAnsi="仿宋_GB2312" w:cs="仿宋_GB2312" w:eastAsia="仿宋_GB2312"/>
              </w:rPr>
              <w:t>5</w:t>
            </w:r>
            <w:r>
              <w:rPr>
                <w:rFonts w:ascii="仿宋_GB2312" w:hAnsi="仿宋_GB2312" w:cs="仿宋_GB2312" w:eastAsia="仿宋_GB2312"/>
              </w:rPr>
              <w:t>、2025年底原则上完成不低于20%存量问题整治任务，2026年底原则上完成不低于70%，2027年7月底基本完成。</w:t>
            </w:r>
          </w:p>
          <w:p>
            <w:pPr>
              <w:pStyle w:val="null3"/>
              <w:ind w:firstLine="402"/>
              <w:jc w:val="both"/>
            </w:pPr>
            <w:r>
              <w:rPr>
                <w:rFonts w:ascii="仿宋_GB2312" w:hAnsi="仿宋_GB2312" w:cs="仿宋_GB2312" w:eastAsia="仿宋_GB2312"/>
                <w:b/>
              </w:rPr>
              <w:t>四、拟投入本项目的费用测算</w:t>
            </w:r>
          </w:p>
          <w:p>
            <w:pPr>
              <w:pStyle w:val="null3"/>
              <w:ind w:firstLine="400"/>
              <w:jc w:val="both"/>
            </w:pPr>
            <w:r>
              <w:rPr>
                <w:rFonts w:ascii="仿宋_GB2312" w:hAnsi="仿宋_GB2312" w:cs="仿宋_GB2312" w:eastAsia="仿宋_GB2312"/>
              </w:rPr>
              <w:t>本次采购预算 70万元，包括本次项目所需的人工费、服务费、管理费、税金等所有费用。</w:t>
            </w:r>
          </w:p>
          <w:p>
            <w:pPr>
              <w:pStyle w:val="null3"/>
              <w:ind w:firstLine="402"/>
              <w:jc w:val="both"/>
            </w:pPr>
            <w:r>
              <w:rPr>
                <w:rFonts w:ascii="仿宋_GB2312" w:hAnsi="仿宋_GB2312" w:cs="仿宋_GB2312" w:eastAsia="仿宋_GB2312"/>
                <w:b/>
              </w:rPr>
              <w:t>五、服务质量、标准、期限、效率等要求</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color w:val="000000"/>
              </w:rPr>
              <w:t>本次项目实施期限为：自合同签订之日起至2027年7月底。</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、项目提供的基础地理信息数据应精准可靠，现势性强，格式通用，数据保密性和备份恢复须遵循国家测绘地理信息保密安全要求。</w:t>
            </w:r>
          </w:p>
          <w:p>
            <w:pPr>
              <w:pStyle w:val="null3"/>
              <w:ind w:firstLine="402"/>
              <w:jc w:val="both"/>
            </w:pPr>
            <w:r>
              <w:rPr>
                <w:rFonts w:ascii="仿宋_GB2312" w:hAnsi="仿宋_GB2312" w:cs="仿宋_GB2312" w:eastAsia="仿宋_GB2312"/>
                <w:b/>
              </w:rPr>
              <w:t>六、付款方式</w:t>
            </w:r>
          </w:p>
          <w:p>
            <w:pPr>
              <w:pStyle w:val="null3"/>
              <w:ind w:firstLine="400"/>
              <w:jc w:val="both"/>
            </w:pPr>
            <w:r>
              <w:rPr>
                <w:rFonts w:ascii="仿宋_GB2312" w:hAnsi="仿宋_GB2312" w:cs="仿宋_GB2312" w:eastAsia="仿宋_GB2312"/>
              </w:rPr>
              <w:t>合同签订后，建立数据库并完成整改任务的20%，甲方向乙方支付50%技术服务费，完成整改任务的70%支付20%技术服务费，完成合同约定内所有工作并通过部省审核后，支付剩余技术服务费。</w:t>
            </w:r>
          </w:p>
          <w:p>
            <w:pPr>
              <w:pStyle w:val="null3"/>
              <w:ind w:firstLine="402"/>
              <w:jc w:val="both"/>
            </w:pPr>
            <w:r>
              <w:rPr>
                <w:rFonts w:ascii="仿宋_GB2312" w:hAnsi="仿宋_GB2312" w:cs="仿宋_GB2312" w:eastAsia="仿宋_GB2312"/>
                <w:b/>
              </w:rPr>
              <w:t>七、验收标准</w:t>
            </w:r>
          </w:p>
          <w:p>
            <w:pPr>
              <w:pStyle w:val="null3"/>
              <w:ind w:firstLine="400"/>
              <w:jc w:val="both"/>
            </w:pPr>
            <w:r>
              <w:rPr>
                <w:rFonts w:ascii="仿宋_GB2312" w:hAnsi="仿宋_GB2312" w:cs="仿宋_GB2312" w:eastAsia="仿宋_GB2312"/>
              </w:rPr>
              <w:t>根据自然资源部、陕西省自然资源厅成果要求，以成果通过省、部级审核为标准。</w:t>
            </w:r>
          </w:p>
          <w:p>
            <w:pPr>
              <w:pStyle w:val="null3"/>
              <w:ind w:firstLine="402"/>
              <w:jc w:val="both"/>
            </w:pPr>
            <w:r>
              <w:rPr>
                <w:rFonts w:ascii="仿宋_GB2312" w:hAnsi="仿宋_GB2312" w:cs="仿宋_GB2312" w:eastAsia="仿宋_GB2312"/>
                <w:b/>
              </w:rPr>
              <w:t>八、技术依据</w:t>
            </w:r>
          </w:p>
          <w:p>
            <w:pPr>
              <w:pStyle w:val="null3"/>
              <w:ind w:firstLine="400"/>
              <w:jc w:val="both"/>
            </w:pPr>
            <w:r>
              <w:rPr>
                <w:rFonts w:ascii="仿宋_GB2312" w:hAnsi="仿宋_GB2312" w:cs="仿宋_GB2312" w:eastAsia="仿宋_GB2312"/>
                <w:color w:val="000000"/>
              </w:rPr>
              <w:t>1</w:t>
            </w:r>
            <w:r>
              <w:rPr>
                <w:rFonts w:ascii="仿宋_GB2312" w:hAnsi="仿宋_GB2312" w:cs="仿宋_GB2312" w:eastAsia="仿宋_GB2312"/>
                <w:color w:val="000000"/>
              </w:rPr>
              <w:t>、依据磋商文件、磋商响应文件、合同文件及国家相关规范及标准进行验收</w:t>
            </w:r>
          </w:p>
          <w:p>
            <w:pPr>
              <w:pStyle w:val="null3"/>
              <w:ind w:firstLine="400"/>
              <w:jc w:val="both"/>
            </w:pPr>
            <w:r>
              <w:rPr>
                <w:rFonts w:ascii="仿宋_GB2312" w:hAnsi="仿宋_GB2312" w:cs="仿宋_GB2312" w:eastAsia="仿宋_GB2312"/>
                <w:color w:val="000000"/>
              </w:rPr>
              <w:t>2</w:t>
            </w:r>
            <w:r>
              <w:rPr>
                <w:rFonts w:ascii="仿宋_GB2312" w:hAnsi="仿宋_GB2312" w:cs="仿宋_GB2312" w:eastAsia="仿宋_GB2312"/>
                <w:color w:val="000000"/>
              </w:rPr>
              <w:t>、土地卫片执法图斑合法性判定规则</w:t>
            </w:r>
          </w:p>
          <w:p>
            <w:pPr>
              <w:pStyle w:val="null3"/>
              <w:ind w:firstLine="400"/>
              <w:jc w:val="both"/>
            </w:pPr>
            <w:r>
              <w:rPr>
                <w:rFonts w:ascii="仿宋_GB2312" w:hAnsi="仿宋_GB2312" w:cs="仿宋_GB2312" w:eastAsia="仿宋_GB2312"/>
                <w:color w:val="000000"/>
              </w:rPr>
              <w:t>3</w:t>
            </w:r>
            <w:r>
              <w:rPr>
                <w:rFonts w:ascii="仿宋_GB2312" w:hAnsi="仿宋_GB2312" w:cs="仿宋_GB2312" w:eastAsia="仿宋_GB2312"/>
                <w:color w:val="000000"/>
              </w:rPr>
              <w:t>、自然资源部办公厅关于利用2024年度卫片监测成果开展日常执法工作的通知</w:t>
            </w:r>
          </w:p>
          <w:p>
            <w:pPr>
              <w:pStyle w:val="null3"/>
              <w:ind w:firstLine="400"/>
              <w:jc w:val="both"/>
            </w:pPr>
            <w:r>
              <w:rPr>
                <w:rFonts w:ascii="仿宋_GB2312" w:hAnsi="仿宋_GB2312" w:cs="仿宋_GB2312" w:eastAsia="仿宋_GB2312"/>
                <w:color w:val="000000"/>
              </w:rPr>
              <w:t>4</w:t>
            </w:r>
            <w:r>
              <w:rPr>
                <w:rFonts w:ascii="仿宋_GB2312" w:hAnsi="仿宋_GB2312" w:cs="仿宋_GB2312" w:eastAsia="仿宋_GB2312"/>
                <w:color w:val="000000"/>
              </w:rPr>
              <w:t>、陕西省自然资源厅关于开展2024年土地卫片执法日常监测工作的通知</w:t>
            </w:r>
          </w:p>
          <w:p>
            <w:pPr>
              <w:pStyle w:val="null3"/>
              <w:ind w:firstLine="400"/>
              <w:jc w:val="both"/>
            </w:pPr>
            <w:r>
              <w:rPr>
                <w:rFonts w:ascii="仿宋_GB2312" w:hAnsi="仿宋_GB2312" w:cs="仿宋_GB2312" w:eastAsia="仿宋_GB2312"/>
                <w:color w:val="000000"/>
              </w:rPr>
              <w:t>5</w:t>
            </w:r>
            <w:r>
              <w:rPr>
                <w:rFonts w:ascii="仿宋_GB2312" w:hAnsi="仿宋_GB2312" w:cs="仿宋_GB2312" w:eastAsia="仿宋_GB2312"/>
                <w:color w:val="000000"/>
              </w:rPr>
              <w:t>、陕西省自然资源厅关于开展2024年土地卫片执法日常监测工作的补充通知</w:t>
            </w:r>
          </w:p>
          <w:p>
            <w:pPr>
              <w:pStyle w:val="null3"/>
              <w:ind w:firstLine="400"/>
              <w:jc w:val="both"/>
            </w:pPr>
            <w:r>
              <w:rPr>
                <w:rFonts w:ascii="仿宋_GB2312" w:hAnsi="仿宋_GB2312" w:cs="仿宋_GB2312" w:eastAsia="仿宋_GB2312"/>
                <w:color w:val="000000"/>
              </w:rPr>
              <w:t>6</w:t>
            </w:r>
            <w:r>
              <w:rPr>
                <w:rFonts w:ascii="仿宋_GB2312" w:hAnsi="仿宋_GB2312" w:cs="仿宋_GB2312" w:eastAsia="仿宋_GB2312"/>
                <w:color w:val="000000"/>
              </w:rPr>
              <w:t>、陕西省自然资源厅办公室关于开展2024年矿产卫片执法工作的通知。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自合同签订之日起至2027年7月底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根据自然资源部、陕西省自然资源厅成果要求，以成果通过省、部级审核为标准。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合同签订后，建立数据库并完成整改任务的20%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完成整改任务的70%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完成合同约定内所有工作并通过部省审核后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2、甲乙双方必须遵守本合同并执行合同中的各项规定，确保本合同的正常履行。 3、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2.依法缴纳税收和社会保障资金的证明材料复印件； 3.具备履行合同所必需的设备和专业技术能力的承诺书； 4.供应商参加政府采购活动前3年内在经营活动中没有重大违法记录的书面声明书。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复印件（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或本年度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承诺函.docx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本项目专门面向中小企业，供应商应为中小微企业或监狱企业或残疾人福利性单位。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供应商具备相关主管部门颁发且在有效期内合格的测绘乙级及以上资质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投标人单位负责人为同一人或者 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磋商文件盖章</w:t>
            </w:r>
          </w:p>
        </w:tc>
        <w:tc>
          <w:tcPr>
            <w:tcW w:type="dxa" w:w="3322"/>
          </w:tcPr>
          <w:p>
            <w:pPr>
              <w:pStyle w:val="null3"/>
            </w:pPr>
            <w:r>
              <w:rPr>
                <w:rFonts w:ascii="仿宋_GB2312" w:hAnsi="仿宋_GB2312" w:cs="仿宋_GB2312" w:eastAsia="仿宋_GB2312"/>
              </w:rPr>
              <w:t>响应文件盖章满足磋商文件的要求</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w:t>
            </w:r>
          </w:p>
        </w:tc>
        <w:tc>
          <w:tcPr>
            <w:tcW w:type="dxa" w:w="3322"/>
          </w:tcPr>
          <w:p>
            <w:pPr>
              <w:pStyle w:val="null3"/>
            </w:pPr>
            <w:r>
              <w:rPr>
                <w:rFonts w:ascii="仿宋_GB2312" w:hAnsi="仿宋_GB2312" w:cs="仿宋_GB2312" w:eastAsia="仿宋_GB2312"/>
              </w:rPr>
              <w:t>响应文件法定代表人（或其他组织负责人）或其授权代表签字盖章满足磋商文件的要求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保证金提交符合磋商文件要求</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供应商首次磋商报价未出现选择性报价，首次磋商报价未超出采购预算及最高限价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磋商内容未出现漏项，与要求相符，未出现重大负偏差</w:t>
            </w:r>
          </w:p>
        </w:tc>
        <w:tc>
          <w:tcPr>
            <w:tcW w:type="dxa" w:w="1661"/>
          </w:tcPr>
          <w:p>
            <w:pPr>
              <w:pStyle w:val="null3"/>
            </w:pPr>
            <w:r>
              <w:rPr>
                <w:rFonts w:ascii="仿宋_GB2312" w:hAnsi="仿宋_GB2312" w:cs="仿宋_GB2312" w:eastAsia="仿宋_GB2312"/>
              </w:rPr>
              <w:t>服务内容及服务邀请应答表 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合理报价</w:t>
            </w:r>
          </w:p>
        </w:tc>
        <w:tc>
          <w:tcPr>
            <w:tcW w:type="dxa" w:w="3322"/>
          </w:tcPr>
          <w:p>
            <w:pPr>
              <w:pStyle w:val="null3"/>
            </w:pPr>
            <w:r>
              <w:rPr>
                <w:rFonts w:ascii="仿宋_GB2312" w:hAnsi="仿宋_GB2312" w:cs="仿宋_GB2312" w:eastAsia="仿宋_GB2312"/>
              </w:rPr>
              <w:t>响应报价未与市场价偏离较大，低于成本，形成不正当竞争</w:t>
            </w:r>
          </w:p>
        </w:tc>
        <w:tc>
          <w:tcPr>
            <w:tcW w:type="dxa" w:w="1661"/>
          </w:tcPr>
          <w:p>
            <w:pPr>
              <w:pStyle w:val="null3"/>
            </w:pPr>
            <w:r>
              <w:rPr>
                <w:rFonts w:ascii="仿宋_GB2312" w:hAnsi="仿宋_GB2312" w:cs="仿宋_GB2312" w:eastAsia="仿宋_GB2312"/>
              </w:rPr>
              <w:t>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评审内容:根据供应商针对本项目的理解分析，各部分内容全面详细、阐述条理清晰详尽、符合磋商文件要求。方案内容包含①项目背景；②现状分析；③相关标准及规范；④重难点分析；⑤服务流程。 评审标准:上述每项方案内容无缺陷得2分，满分为10分。方案内容每存在1处缺陷：扣0.5分，扣完为止；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工作服务方案</w:t>
            </w:r>
          </w:p>
        </w:tc>
        <w:tc>
          <w:tcPr>
            <w:tcW w:type="dxa" w:w="2492"/>
          </w:tcPr>
          <w:p>
            <w:pPr>
              <w:pStyle w:val="null3"/>
            </w:pPr>
            <w:r>
              <w:rPr>
                <w:rFonts w:ascii="仿宋_GB2312" w:hAnsi="仿宋_GB2312" w:cs="仿宋_GB2312" w:eastAsia="仿宋_GB2312"/>
              </w:rPr>
              <w:t>评审内容:根据供应商针对本项目的工作服务方案，各部分内容全面详细、阐述条理清晰详尽、符合磋商文件要求。方案内容包含①数据采集；②举证照片；③处置信息审核；④分析及汇总；⑤后续服务。 评审标准:上述每项方案内容无缺陷得2分，满分为10分。方案内容每存在1处缺陷：扣0.5分，扣完为止；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数据安全方案</w:t>
            </w:r>
          </w:p>
        </w:tc>
        <w:tc>
          <w:tcPr>
            <w:tcW w:type="dxa" w:w="2492"/>
          </w:tcPr>
          <w:p>
            <w:pPr>
              <w:pStyle w:val="null3"/>
            </w:pPr>
            <w:r>
              <w:rPr>
                <w:rFonts w:ascii="仿宋_GB2312" w:hAnsi="仿宋_GB2312" w:cs="仿宋_GB2312" w:eastAsia="仿宋_GB2312"/>
              </w:rPr>
              <w:t>评审内容:供应商针对本项目提出具体的数据安全方案，方案各部分内容全面详细、阐述条理清晰详尽、符合采购要求。方案内容包含:①常见安全问题分析；②安全保障措施；③安全保障制度。 评审标准:上述每项方案内容无缺陷得3分，满分为9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根据供应商针对本项目的质量保障措施，各部分内容全面详细、阐述条理清晰详尽、符合磋商文件要求。方案内容包含①质量问题分析；②保障措施；③达到目标。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服务进度和管控措施</w:t>
            </w:r>
          </w:p>
        </w:tc>
        <w:tc>
          <w:tcPr>
            <w:tcW w:type="dxa" w:w="2492"/>
          </w:tcPr>
          <w:p>
            <w:pPr>
              <w:pStyle w:val="null3"/>
            </w:pPr>
            <w:r>
              <w:rPr>
                <w:rFonts w:ascii="仿宋_GB2312" w:hAnsi="仿宋_GB2312" w:cs="仿宋_GB2312" w:eastAsia="仿宋_GB2312"/>
              </w:rPr>
              <w:t>评审内容:根据供应商针对本项目的服务进度和管控措施，各部分内容全面详细、阐述条理清晰详尽、符合磋商文件要求。方案内容包含①各项服务实施周期、流程；②关键节点并配图说明；③列举因各种原因导致进度延误的相应补救措施。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评审内容:根据供应商针对本项目的应急保障措施，各部分内容全面详细、阐述条理清晰详尽、符合磋商文件要求。方案内容包含①详细应急保障及应急处理团队；②针对突发事件及紧急情况的应急预案。 评审标准:上述每项方案内容无缺陷得2分，满分为4分。方案内容每存在1处缺陷：扣0.5分，扣完为止；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评审内容:根据供应商针对本项目的保密方案，各部分内容全面详细、阐述条理清晰详尽、符合磋商文件要求。方案内容包含①具备科学完善的安全保密体系与措施；②针对电子数据、纸质文件等不同信息载体的保密措施；③设有保密专员定期进行自查自检。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评审内容:根据供应商针对本项目的管理制度，各部分内容全面详细、阐述条理清晰详尽、符合磋商文件要求。方案内容包含①内部管理制度；②操作规程；③劳动纪律和奖惩制度。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根据供应商人员配备方案进行评审： ①提供的项目组人员配备方案，专业齐全、分工合理、类似项目经验丰富、针对性强，得7分； ②提供了常规、通用的配备方案，得5分； ③方案可行性欠佳，得2分。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供应商针对本项目提出具体的售后服务方案，方案各部分内容全面详细、阐述条理清晰详尽、符合招标要求。方案内容包含:①售后服务机构地址，电话联系人；②售后服务人员组织；③售后服务保障措施；④响应及处理时间。 评审标准:上述每项方案内容无缺陷得2分，满分为8分。方案内容每存在1处缺陷：扣1分，扣完为止；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供应商2022年10月至今具有类似项目业绩，每提供应商2022年10月至今具有类似项目业绩，每提供1个得2分，满分8分。 评审依据：以合同签订时间为准，提供合同复印件加盖公章。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磋商小组认为供应商的最终报价明显低于其他通过符合性审查供应商的报价，有可能影响服务质量或者不能诚信履约的，应当在磋商现场提供书面说明及相关证明材料。供应商不能证明其报价合理性的，为无效磋商） 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详见附件：磋商保证金.docx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