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版本号：ZCSP-渭南市-2025-00776-HMGJ07320251018002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渭南市农业科学研究院2025年农用地膜回收利用项目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ZCSP-渭南市-2025-00776-HMGJ073</w:t>
      </w:r>
      <w:r>
        <w:br/>
      </w:r>
      <w:r>
        <w:br/>
      </w:r>
      <w:r>
        <w:br/>
      </w:r>
    </w:p>
    <w:p>
      <w:pPr>
        <w:pStyle w:val="null3"/>
        <w:jc w:val="center"/>
        <w:outlineLvl w:val="2"/>
      </w:pPr>
      <w:r>
        <w:rPr>
          <w:rFonts w:ascii="仿宋_GB2312" w:hAnsi="仿宋_GB2312" w:cs="仿宋_GB2312" w:eastAsia="仿宋_GB2312"/>
          <w:sz w:val="28"/>
          <w:b/>
        </w:rPr>
        <w:t>渭南市农业科学研究所</w:t>
      </w:r>
    </w:p>
    <w:p>
      <w:pPr>
        <w:pStyle w:val="null3"/>
        <w:jc w:val="center"/>
        <w:outlineLvl w:val="2"/>
      </w:pPr>
      <w:r>
        <w:rPr>
          <w:rFonts w:ascii="仿宋_GB2312" w:hAnsi="仿宋_GB2312" w:cs="仿宋_GB2312" w:eastAsia="仿宋_GB2312"/>
          <w:sz w:val="28"/>
          <w:b/>
        </w:rPr>
        <w:t>鸿民国际工程（集团）有限公司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鸿民国际工程（集团）有限公司</w:t>
      </w:r>
      <w:r>
        <w:rPr>
          <w:rFonts w:ascii="仿宋_GB2312" w:hAnsi="仿宋_GB2312" w:cs="仿宋_GB2312" w:eastAsia="仿宋_GB2312"/>
        </w:rPr>
        <w:t>（以下简称“代理机构”）受</w:t>
      </w:r>
      <w:r>
        <w:rPr>
          <w:rFonts w:ascii="仿宋_GB2312" w:hAnsi="仿宋_GB2312" w:cs="仿宋_GB2312" w:eastAsia="仿宋_GB2312"/>
        </w:rPr>
        <w:t>渭南市农业科学研究所</w:t>
      </w:r>
      <w:r>
        <w:rPr>
          <w:rFonts w:ascii="仿宋_GB2312" w:hAnsi="仿宋_GB2312" w:cs="仿宋_GB2312" w:eastAsia="仿宋_GB2312"/>
        </w:rPr>
        <w:t>委托，拟对</w:t>
      </w:r>
      <w:r>
        <w:rPr>
          <w:rFonts w:ascii="仿宋_GB2312" w:hAnsi="仿宋_GB2312" w:cs="仿宋_GB2312" w:eastAsia="仿宋_GB2312"/>
        </w:rPr>
        <w:t>渭南市农业科学研究院2025年农用地膜回收利用项目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ZCSP-渭南市-2025-00776-HMGJ073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渭南市农业科学研究院2025年农用地膜回收利用项目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采购符合国家及行业标准的加厚高强度地膜一批，总数量30吨，同时包含科学使用指导及后期回收服务。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采购包1（渭南市农业科学研究院2025年农用地膜回收利用项目）：属于专门面向小微企业采购。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代表身份：法定代表人参加投标的，须提供本人身份证复印件；法定代表人授权他人参加投标的，须提供法定代表人授权委托书、授权代表身份证、授权代表在本单位近3个月内任意一个月缴纳的养老保险证明。招标文件中凡是需要法定代表人盖章之处，非法人单位的负责人均参照执行。法人的分支机构参与投标时，除提供《法定代表人授权委托书》外，还须同时提供法人给分支机构出具的授权书。</w:t>
      </w:r>
    </w:p>
    <w:p>
      <w:pPr>
        <w:pStyle w:val="null3"/>
      </w:pPr>
      <w:r>
        <w:rPr>
          <w:rFonts w:ascii="仿宋_GB2312" w:hAnsi="仿宋_GB2312" w:cs="仿宋_GB2312" w:eastAsia="仿宋_GB2312"/>
        </w:rPr>
        <w:t>2、营业执照：供应商提供有效存续的企业营业执照（含最新年度报告）</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4、社保缴纳证明：提供2025年1月1日至投标文件递交截止之日任意一个月的社会保障资金缴存单据或社保机构开具的社会保险参保缴费情况证明。依法不需要缴纳社会保障资金的供应商应提供相关证明文件；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税收缴纳证明：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信用记录：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p>
      <w:pPr>
        <w:pStyle w:val="null3"/>
      </w:pPr>
      <w:r>
        <w:rPr>
          <w:rFonts w:ascii="仿宋_GB2312" w:hAnsi="仿宋_GB2312" w:cs="仿宋_GB2312" w:eastAsia="仿宋_GB2312"/>
        </w:rPr>
        <w:t>7、控股管理关系：提供直接控股和管理关系清单。若与其他供应商存在单位负责人为同一人或者存在直接控股、管理关系的，则投标无效；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8、书面声明：提供书面声明，包括声明具有履行合同所必需的设备和专业技术能力；未为本项目提供整体设计、规范编制或者项目管理、监理、检测等服务；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9、本合同包不接受联合体投标、不允许分包：供应商提供《非联合体投标不分包声明》，视为独立投标、不分包。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渭南市农业科学研究所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渭南市临渭区朝阳大街农业大厦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0913-2033326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鸿民国际工程（集团）有限公司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渭南市临渭区西四路林业大厦四层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吝银芳、王媛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18992361925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加厚高强度地膜</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人与采购代理机构依据“财库[2018]2号-财政部关于印发《政府采购代理机构管理暂行办法》的通知”第十五条规定，约定代理服务费由中标供应商支付，在领取成交通知书前一次性付清；参照国家计委关于《招标代理服务收费管理暂行办法》（计价格〔2002〕1980号）、《国家发展改革委关于降低部分建设项目收费标准规范收费行为等有关问题的通知》（发改价格〔2011〕534号），以中标价为基数，按标准的100%收取；开户名称：鸿民国际工程（集团）有限公司，开户银行：中国银行渭南杜桥支行，账 号：102403894305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渭南市农业科学研究所</w:t>
      </w:r>
      <w:r>
        <w:rPr>
          <w:rFonts w:ascii="仿宋_GB2312" w:hAnsi="仿宋_GB2312" w:cs="仿宋_GB2312" w:eastAsia="仿宋_GB2312"/>
        </w:rPr>
        <w:t>和</w:t>
      </w:r>
      <w:r>
        <w:rPr>
          <w:rFonts w:ascii="仿宋_GB2312" w:hAnsi="仿宋_GB2312" w:cs="仿宋_GB2312" w:eastAsia="仿宋_GB2312"/>
        </w:rPr>
        <w:t>鸿民国际工程（集团）有限公司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渭南市农业科学研究所</w:t>
      </w:r>
      <w:r>
        <w:rPr>
          <w:rFonts w:ascii="仿宋_GB2312" w:hAnsi="仿宋_GB2312" w:cs="仿宋_GB2312" w:eastAsia="仿宋_GB2312"/>
        </w:rPr>
        <w:t>负责解释。除上述招标文件内容，其他内容由</w:t>
      </w:r>
      <w:r>
        <w:rPr>
          <w:rFonts w:ascii="仿宋_GB2312" w:hAnsi="仿宋_GB2312" w:cs="仿宋_GB2312" w:eastAsia="仿宋_GB2312"/>
        </w:rPr>
        <w:t>鸿民国际工程（集团）有限公司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渭南市农业科学研究所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鸿民国际工程（集团）有限公司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鸿民国际工程（集团）有限公司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联系人：吝银芳、王媛</w:t>
      </w:r>
    </w:p>
    <w:p>
      <w:pPr>
        <w:pStyle w:val="null3"/>
      </w:pPr>
      <w:r>
        <w:rPr>
          <w:rFonts w:ascii="仿宋_GB2312" w:hAnsi="仿宋_GB2312" w:cs="仿宋_GB2312" w:eastAsia="仿宋_GB2312"/>
        </w:rPr>
        <w:t>联系电话：18992361925</w:t>
      </w:r>
    </w:p>
    <w:p>
      <w:pPr>
        <w:pStyle w:val="null3"/>
      </w:pPr>
      <w:r>
        <w:rPr>
          <w:rFonts w:ascii="仿宋_GB2312" w:hAnsi="仿宋_GB2312" w:cs="仿宋_GB2312" w:eastAsia="仿宋_GB2312"/>
        </w:rPr>
        <w:t>地址：渭南市临渭区西四路林业大厦四层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采购符合国家及行业标准的加厚高强度地膜一批，总数量30吨，同时包含科学使用指导及后期回收服务。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农用地膜</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吨</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标的名称：农用地膜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一、采购标的数量和规格</w:t>
            </w:r>
          </w:p>
          <w:p>
            <w:pPr>
              <w:pStyle w:val="null3"/>
            </w:pPr>
            <w:r>
              <w:rPr>
                <w:rFonts w:ascii="仿宋_GB2312" w:hAnsi="仿宋_GB2312" w:cs="仿宋_GB2312" w:eastAsia="仿宋_GB2312"/>
              </w:rPr>
              <w:t>数量：30吨。</w:t>
            </w:r>
          </w:p>
          <w:p>
            <w:pPr>
              <w:pStyle w:val="null3"/>
            </w:pPr>
            <w:r>
              <w:rPr>
                <w:rFonts w:ascii="仿宋_GB2312" w:hAnsi="仿宋_GB2312" w:cs="仿宋_GB2312" w:eastAsia="仿宋_GB2312"/>
              </w:rPr>
              <w:t>规格：细则见以下第二部分：质量、安全、技术规格、物理特性等。</w:t>
            </w:r>
          </w:p>
          <w:p>
            <w:pPr>
              <w:pStyle w:val="null3"/>
            </w:pPr>
            <w:r>
              <w:rPr>
                <w:rFonts w:ascii="仿宋_GB2312" w:hAnsi="仿宋_GB2312" w:cs="仿宋_GB2312" w:eastAsia="仿宋_GB2312"/>
              </w:rPr>
              <w:t>二、质量、安全、技术规格、物理特性等要求</w:t>
            </w:r>
          </w:p>
          <w:p>
            <w:pPr>
              <w:pStyle w:val="null3"/>
            </w:pPr>
            <w:r>
              <w:rPr>
                <w:rFonts w:ascii="仿宋_GB2312" w:hAnsi="仿宋_GB2312" w:cs="仿宋_GB2312" w:eastAsia="仿宋_GB2312"/>
              </w:rPr>
              <w:t>1.膜卷尺寸：按批次制定地膜宽度，宽度700mm-2500mm；厚度不小于0.015mm；重量5kg/卷。</w:t>
            </w:r>
          </w:p>
          <w:p>
            <w:pPr>
              <w:pStyle w:val="null3"/>
            </w:pPr>
            <w:r>
              <w:rPr>
                <w:rFonts w:ascii="仿宋_GB2312" w:hAnsi="仿宋_GB2312" w:cs="仿宋_GB2312" w:eastAsia="仿宋_GB2312"/>
              </w:rPr>
              <w:t>2.颜色：黑色、白色。</w:t>
            </w:r>
          </w:p>
          <w:p>
            <w:pPr>
              <w:pStyle w:val="null3"/>
            </w:pPr>
            <w:r>
              <w:rPr>
                <w:rFonts w:ascii="仿宋_GB2312" w:hAnsi="仿宋_GB2312" w:cs="仿宋_GB2312" w:eastAsia="仿宋_GB2312"/>
              </w:rPr>
              <w:t>3.执行标准：符合国家标准GB 13735-2017的加厚高标准地膜；质量：产品等级为合格品，I类加耐候剂树脂。</w:t>
            </w:r>
          </w:p>
          <w:p>
            <w:pPr>
              <w:pStyle w:val="null3"/>
            </w:pPr>
            <w:r>
              <w:rPr>
                <w:rFonts w:ascii="仿宋_GB2312" w:hAnsi="仿宋_GB2312" w:cs="仿宋_GB2312" w:eastAsia="仿宋_GB2312"/>
              </w:rPr>
              <w:t>4.宽度：700 mm-2500 mm，宽度极限偏差+40㎜、-10㎜。</w:t>
            </w:r>
          </w:p>
          <w:p>
            <w:pPr>
              <w:pStyle w:val="null3"/>
            </w:pPr>
            <w:r>
              <w:rPr>
                <w:rFonts w:ascii="仿宋_GB2312" w:hAnsi="仿宋_GB2312" w:cs="仿宋_GB2312" w:eastAsia="仿宋_GB2312"/>
              </w:rPr>
              <w:t>5.厚度：不低于0.015㎜，厚度偏差+0.003 ㎜、-0.002㎜，平均厚度偏差+15%、-12%。</w:t>
            </w:r>
          </w:p>
          <w:p>
            <w:pPr>
              <w:pStyle w:val="null3"/>
            </w:pPr>
            <w:r>
              <w:rPr>
                <w:rFonts w:ascii="仿宋_GB2312" w:hAnsi="仿宋_GB2312" w:cs="仿宋_GB2312" w:eastAsia="仿宋_GB2312"/>
              </w:rPr>
              <w:t>6.外观：地膜不应有影响使用的气泡、杂质、条纹、穿孔、褶皱等缺陷。膜卷应卷绕整齐，不应有明显的暴筋，膜卷宽度与膜的公称宽度相差的卷取宽度错位应≤30 ㎜，每卷段数≤2 段，每段长度≥100m。</w:t>
            </w:r>
          </w:p>
          <w:p>
            <w:pPr>
              <w:pStyle w:val="null3"/>
            </w:pPr>
            <w:r>
              <w:rPr>
                <w:rFonts w:ascii="仿宋_GB2312" w:hAnsi="仿宋_GB2312" w:cs="仿宋_GB2312" w:eastAsia="仿宋_GB2312"/>
              </w:rPr>
              <w:t>7.物理机械性能：拉伸负荷：纵向≥2.2N，横向≥2.2N；断裂伸长率：纵向≥300%，横向≥300%；直角撕裂负荷：纵向≥1.2N，横向≥1.2N。</w:t>
            </w:r>
          </w:p>
          <w:p>
            <w:pPr>
              <w:pStyle w:val="null3"/>
            </w:pPr>
            <w:r>
              <w:rPr>
                <w:rFonts w:ascii="仿宋_GB2312" w:hAnsi="仿宋_GB2312" w:cs="仿宋_GB2312" w:eastAsia="仿宋_GB2312"/>
              </w:rPr>
              <w:t>8.包装及规格：5kg包装（每卷净质量偏差+0.25、-0.10kg），每卷膜的内包装应附产品合格证，内容包括产品名称、类别、宽度、厚度、长度、净质量、批号、质量等级、生产日期、生产厂名、生产厂地址、标准号、检验员章。每卷膜的外包装应在明显的位置标有“使用后请回收利用，减少环境污染”及“政府采购地膜”字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自合同签订生效后，按采购人批次要求及指定时间内交货完毕。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采购人分批次指定的地点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供产品的规格、数量符合采购文件供应商投标承诺及采购合同约定的要求。2.所有产品均已安全运输、卸货至指定地点，外观完好，包装完整。3.产品使用说明书、合格证、第三方检测报告等技术资料齐全。4.验收程序：供应商在完成每批次货物交付后，应向采购人提交书面验收申请。采购人应在收到申请后15个工作日内组织验收，并出具验收报告。验收不合格的，供应商应在约定时间内完成整改或更换。</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1.保修期：自验收合格（以《地膜验收合格确认单》为准）起，至1个农业种植季结束（短于6个月按6个月算，长于6个月最长不超12个月）。 2.质量保修范围： 2.1产品质量问题：保修期内，地膜若出现不符合招标文件要求的情况，供方需免费更换/补货. 2.2服务缺失问题：保修期内，供方未履行以下服务的，需补做/承担费用： （1）未提供第三方检测报告或拒担抽样检测费； （2）未指导使用致正常使用出问题； （3）未按约提供回收服务； （4）物流责任致地膜损坏/逾期，未及时补货。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的相关条款和本合同约定，乙方未全面履行合同义务或拒绝继续履行合同义务，造成交货期延误或给甲方带来经济损失，甲方有权单方终止合同，并向乙方索赔。甲方违约的,应赔偿乙方的直接经济损失。在履行本合同期间若发生争议，甲、乙双方应友好协商解决。若协商不成，任何一方均可向甲方所在地有管转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1.供应商需要提供合理的项目整体实施方案，能按照项目分解节点并可跟踪实施。 2.供应商需提供完善的生产实施方案，涵盖原材料采购、生产加工、装配等环节，确保按期完成生产任务。 3.供应商需提供严格的品控管理方案，证明其拥有独立的品管部门和专业的品管人员，对生产过程进行全过程质量控制。 4.供应商需提供可靠的物流配送方案，确保能根据交付时间节点，合理安排运输和人员，按时送达指定地点。 5.售后服务要求：须出具第三方检测报告，同时承担批次发货抽样检测等费用。 6.供应商需提供科学使用指导及后期回收服务方案。 7.项目团队要求：承担项目实施期间全过程货物配送费用。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1.供应商需在项目电子化交易系统中按要求上传相应资格证明文件并进行电子签章； 2.供应商需在项目电子化交易系统中按要求填写《响应函》完成承诺并进行电子签章。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供应商代表身份</w:t>
            </w:r>
          </w:p>
        </w:tc>
        <w:tc>
          <w:tcPr>
            <w:tcW w:type="dxa" w:w="3322"/>
          </w:tcPr>
          <w:p>
            <w:pPr>
              <w:pStyle w:val="null3"/>
            </w:pPr>
            <w:r>
              <w:rPr>
                <w:rFonts w:ascii="仿宋_GB2312" w:hAnsi="仿宋_GB2312" w:cs="仿宋_GB2312" w:eastAsia="仿宋_GB2312"/>
              </w:rPr>
              <w:t>法定代表人参加投标的，须提供本人身份证复印件；法定代表人授权他人参加投标的，须提供法定代表人授权委托书、授权代表身份证、授权代表在本单位近3个月内任意一个月缴纳的养老保险证明。招标文件中凡是需要法定代表人盖章之处，非法人单位的负责人均参照执行。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供应商提供有效存续的企业营业执照（含最新年度报告）</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投标文件递交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提供2025年1月1日至投标文件递交截止之日任意一个月的社会保障资金缴存单据或社保机构开具的社会保险参保缴费情况证明。依法不需要缴纳社会保障资金的供应商应提供相关证明文件；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投标文件递交截止之日任意一个月的依法缴纳税收的相关凭据（时间以税款所属日期为准、税种须同时包含增值税和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投标文件递交截止时间前，通过“信用中国”网站(www.creditchina.gov.cn)、中国政府采购网(www.ccgp.gov.cn)查询自身信用记录，并提供查询结果截图。同时提供《供应商信用记录书面声明函》（按格式填写，提供原件）。经采购代理机构查询，供应商不得被列入“信用中国”网站记录的“失信被执行人”、“重大税收违法失信主体”名单；不处于“中国政府采购网”记录的“政府采购严重违法失信行为记录名单”中的禁止参加政府采购活动期间。查询记录和声明函作为资格审核依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本合同包不接受联合体投标、不允许分包</w:t>
            </w:r>
          </w:p>
        </w:tc>
        <w:tc>
          <w:tcPr>
            <w:tcW w:type="dxa" w:w="3322"/>
          </w:tcPr>
          <w:p>
            <w:pPr>
              <w:pStyle w:val="null3"/>
            </w:pPr>
            <w:r>
              <w:rPr>
                <w:rFonts w:ascii="仿宋_GB2312" w:hAnsi="仿宋_GB2312" w:cs="仿宋_GB2312" w:eastAsia="仿宋_GB2312"/>
              </w:rPr>
              <w:t>供应商提供《非联合体投标不分包声明》，视为独立投标、不分包。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参与的供应商提供的货物全部由符合政策要求的小微企业制造。 供应商须提供《中小企业声明函》。监狱企业、残疾人福利性单位视同小微企业。 采购标的对应的中小企业划分标准所属行业为：工业。 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说明：上述标准参照《关于印发中小企业划型标准规定的通知》（工信部联企业〔2011〕300号），大型、中型和小型企业须同时满足所列指标的下限，否则下划一档；微型企业只须满足所列指标中的一项即可。</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投标函 中小企业声明函 标的清单 投标文件封面 承诺函.docx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投标有效期满足招标文件要求的（提交投标文件的截止之日起不少于90天）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投标内容不存在漏项或数量与要求不符合招标文件规定情形，投标内容满足招标文件的商务、技术等实质性要求，不存在采购档次降低或影响采购性能、功能的情形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开标一览表 产品技术参数表 投标函 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 （弄虚作假、串通投标的情形见附注）</w:t>
            </w:r>
          </w:p>
        </w:tc>
        <w:tc>
          <w:tcPr>
            <w:tcW w:type="dxa" w:w="1661"/>
          </w:tcPr>
          <w:p>
            <w:pPr>
              <w:pStyle w:val="null3"/>
            </w:pPr>
            <w:r>
              <w:rPr>
                <w:rFonts w:ascii="仿宋_GB2312" w:hAnsi="仿宋_GB2312" w:cs="仿宋_GB2312" w:eastAsia="仿宋_GB2312"/>
              </w:rPr>
              <w:t>投标函 承诺函.docx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投标函 承诺函.docx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2022年1月1日至投标截止之日，每提供1项有效类似项目业绩得2分。 注：1.类似项目指地膜（或同类农用塑料制品）采购项目；2.业绩证明材料需提供采购合同完整页（含首页、采购内容页、签字盖章页），合同签订时间需在规定区间内；3.此项满分6分，超过3项业绩仍按6分计。</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1.投标人业绩.docx</w:t>
            </w:r>
          </w:p>
        </w:tc>
      </w:tr>
      <w:tr>
        <w:tc>
          <w:tcPr>
            <w:tcW w:type="dxa" w:w="831"/>
            <w:vMerge/>
          </w:tcPr>
          <w:p/>
        </w:tc>
        <w:tc>
          <w:tcPr>
            <w:tcW w:type="dxa" w:w="1661"/>
          </w:tcPr>
          <w:p>
            <w:pPr>
              <w:pStyle w:val="null3"/>
            </w:pPr>
            <w:r>
              <w:rPr>
                <w:rFonts w:ascii="仿宋_GB2312" w:hAnsi="仿宋_GB2312" w:cs="仿宋_GB2312" w:eastAsia="仿宋_GB2312"/>
              </w:rPr>
              <w:t>生产与供货保障方案</w:t>
            </w:r>
          </w:p>
        </w:tc>
        <w:tc>
          <w:tcPr>
            <w:tcW w:type="dxa" w:w="2492"/>
          </w:tcPr>
          <w:p>
            <w:pPr>
              <w:pStyle w:val="null3"/>
            </w:pPr>
            <w:r>
              <w:rPr>
                <w:rFonts w:ascii="仿宋_GB2312" w:hAnsi="仿宋_GB2312" w:cs="仿宋_GB2312" w:eastAsia="仿宋_GB2312"/>
              </w:rPr>
              <w:t>1.评审内容 针对本项目地膜供货需求，方案需包含①原材料采购计划、②生产排产计划、③成品备货计划、④紧急订单应急预案，共4个核心模块。 2.评审标准 ①基础分值：每个核心模块内容无缺陷得2分，4个模块满分8分。 ②缺陷扣分：每个模块每存在1处缺陷，扣0.5分；单个模块缺陷扣分最多扣完该模块分值2分，整体扣完8分为止。 ③缺陷定义：符合以下任意一种情形即判定为缺陷： a.内容不完整。b.描述过于简单。 c.非专门针对本项目。 d.存在逻辑漏洞。e.不利于目标实现。</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2.生产与供货保障方案.docx</w:t>
            </w:r>
          </w:p>
        </w:tc>
      </w:tr>
      <w:tr>
        <w:tc>
          <w:tcPr>
            <w:tcW w:type="dxa" w:w="831"/>
            <w:vMerge/>
          </w:tcPr>
          <w:p/>
        </w:tc>
        <w:tc>
          <w:tcPr>
            <w:tcW w:type="dxa" w:w="1661"/>
          </w:tcPr>
          <w:p>
            <w:pPr>
              <w:pStyle w:val="null3"/>
            </w:pPr>
            <w:r>
              <w:rPr>
                <w:rFonts w:ascii="仿宋_GB2312" w:hAnsi="仿宋_GB2312" w:cs="仿宋_GB2312" w:eastAsia="仿宋_GB2312"/>
              </w:rPr>
              <w:t>项目团队与技术力量</w:t>
            </w:r>
          </w:p>
        </w:tc>
        <w:tc>
          <w:tcPr>
            <w:tcW w:type="dxa" w:w="2492"/>
          </w:tcPr>
          <w:p>
            <w:pPr>
              <w:pStyle w:val="null3"/>
            </w:pPr>
            <w:r>
              <w:rPr>
                <w:rFonts w:ascii="仿宋_GB2312" w:hAnsi="仿宋_GB2312" w:cs="仿宋_GB2312" w:eastAsia="仿宋_GB2312"/>
              </w:rPr>
              <w:t>1.评审内容 方案需包含①项目组织架构图、②关键岗位（项目经理/质检负责人/交付专员）职责说明、③关键人员经验证明、④岗位责任制度，共4个核心模块。 2.评审标准 ①基础分值：每个核心模块内容无缺陷得2分，4个模块满分8分。 ②缺陷扣分：每个模块每存在1处缺陷，扣0.5分；单个模块缺陷扣分最多扣完该模块分值2分，整体扣完8分为止。 ③缺陷定义：符合以下任意一种情形即判定为缺陷： a.内容不完整。b.缺少关键证明。 c.条理不清晰。d.套用其他项目内容。e.存在常识错误。</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3.项目团队与技术力量.docx</w:t>
            </w:r>
          </w:p>
        </w:tc>
      </w:tr>
      <w:tr>
        <w:tc>
          <w:tcPr>
            <w:tcW w:type="dxa" w:w="831"/>
            <w:vMerge/>
          </w:tcPr>
          <w:p/>
        </w:tc>
        <w:tc>
          <w:tcPr>
            <w:tcW w:type="dxa" w:w="1661"/>
          </w:tcPr>
          <w:p>
            <w:pPr>
              <w:pStyle w:val="null3"/>
            </w:pPr>
            <w:r>
              <w:rPr>
                <w:rFonts w:ascii="仿宋_GB2312" w:hAnsi="仿宋_GB2312" w:cs="仿宋_GB2312" w:eastAsia="仿宋_GB2312"/>
              </w:rPr>
              <w:t>安装、检测与调试方案</w:t>
            </w:r>
          </w:p>
        </w:tc>
        <w:tc>
          <w:tcPr>
            <w:tcW w:type="dxa" w:w="2492"/>
          </w:tcPr>
          <w:p>
            <w:pPr>
              <w:pStyle w:val="null3"/>
            </w:pPr>
            <w:r>
              <w:rPr>
                <w:rFonts w:ascii="仿宋_GB2312" w:hAnsi="仿宋_GB2312" w:cs="仿宋_GB2312" w:eastAsia="仿宋_GB2312"/>
              </w:rPr>
              <w:t>1.评审内容 方案需包含①到货检验清单、②交付流程及时限、③用户使用指导计划，共3个核心模块。 2.评审标准 ①基础分值： a.到货检验清单模块无缺陷得3分； b.交付流程及时限模块无缺陷得2.5分； c.用户使用指导计划模块无缺陷得2.5分； ②缺陷扣分：每个模块每存在1处缺陷，扣0.5分；单个模块缺陷扣分最多扣完该模块分值，整体扣完8分为止。 ③缺陷定义：符合以下任意一种情形即判定为缺陷： a.内容不完整。b.描述过于简单。 c.不适用本项目。d.存在逻辑漏洞。</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4.安装、检测与调试方案.docx</w:t>
            </w:r>
          </w:p>
        </w:tc>
      </w:tr>
      <w:tr>
        <w:tc>
          <w:tcPr>
            <w:tcW w:type="dxa" w:w="831"/>
            <w:vMerge/>
          </w:tcPr>
          <w:p/>
        </w:tc>
        <w:tc>
          <w:tcPr>
            <w:tcW w:type="dxa" w:w="1661"/>
          </w:tcPr>
          <w:p>
            <w:pPr>
              <w:pStyle w:val="null3"/>
            </w:pPr>
            <w:r>
              <w:rPr>
                <w:rFonts w:ascii="仿宋_GB2312" w:hAnsi="仿宋_GB2312" w:cs="仿宋_GB2312" w:eastAsia="仿宋_GB2312"/>
              </w:rPr>
              <w:t>质量管理体系与质量承诺</w:t>
            </w:r>
          </w:p>
        </w:tc>
        <w:tc>
          <w:tcPr>
            <w:tcW w:type="dxa" w:w="2492"/>
          </w:tcPr>
          <w:p>
            <w:pPr>
              <w:pStyle w:val="null3"/>
            </w:pPr>
            <w:r>
              <w:rPr>
                <w:rFonts w:ascii="仿宋_GB2312" w:hAnsi="仿宋_GB2312" w:cs="仿宋_GB2312" w:eastAsia="仿宋_GB2312"/>
              </w:rPr>
              <w:t>1.评审内容 方案需包含①质量管理体系证明材料、②产品符合GB13735-2017标准的承诺、③批次抽检费用承担承诺、④第三方检测报告提供承诺，共4个核心模块，每个模块3分，满分12分。 2.评审标准 ①基础分值：每个核心模块内容无缺陷得3分，4个模块满分12分。 ②缺陷扣分：每个模块每存在1处缺陷，扣0.5分；单个模块缺陷扣分最多扣完该模块分值3分，整体扣完12分为止。 ③缺陷定义：符合以下任意一种情形即判定为缺陷： a.内容不完整。b.缺少关键证明。 c.描述模糊。d.套用其他项目内容 e.存在不可能情形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5.质量管理体系与质量承诺.docx</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1.评审内容 方案需包含①地膜科学使用培训计划、②地膜回收渠道说明、③回收激励机制、④质量问题响应机制、⑤售后质保期限及范围，共5个核心模块。 2.评审标准 ①基础分值： a.科学使用培训计划模块无缺陷得2分； b.地膜回收渠道说明模块无缺陷得2分； c.回收激励机制模块无缺陷得2分； d.质量问题响应机制模块无缺陷得4分； e.售后质保期限及范围模块无缺陷得4分。 ②缺陷扣分：每个模块每存在1处缺陷，扣0.5分；单个模块缺陷扣分最多扣完该模块分值，整体扣完18分为止。 ③缺陷定义：符合以下任意一种情形即判定为缺陷： a.内容不完整。b.描述过于简单。 c.条理不清晰。d.不利于目标实现。 e.存在常识错误。</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6.服务保障方案.docx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各投标人投标函中的价格分评审采用低价优先法计算，即满足招标文件要求且投标价格最低的投标报价为评标基准价，其价格分为满分。其他投标人的价格分统一按照下列公式计算：投标报价得分=（评标基准价/投标报价）×价格权值（即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详见附件：1.投标人业绩.docx</w:t>
      </w:r>
    </w:p>
    <w:p>
      <w:pPr>
        <w:pStyle w:val="null3"/>
        <w:ind w:firstLine="960"/>
      </w:pPr>
      <w:r>
        <w:rPr>
          <w:rFonts w:ascii="仿宋_GB2312" w:hAnsi="仿宋_GB2312" w:cs="仿宋_GB2312" w:eastAsia="仿宋_GB2312"/>
        </w:rPr>
        <w:t>详见附件：2.生产与供货保障方案.docx</w:t>
      </w:r>
    </w:p>
    <w:p>
      <w:pPr>
        <w:pStyle w:val="null3"/>
        <w:ind w:firstLine="960"/>
      </w:pPr>
      <w:r>
        <w:rPr>
          <w:rFonts w:ascii="仿宋_GB2312" w:hAnsi="仿宋_GB2312" w:cs="仿宋_GB2312" w:eastAsia="仿宋_GB2312"/>
        </w:rPr>
        <w:t>详见附件：3.项目团队与技术力量.docx</w:t>
      </w:r>
    </w:p>
    <w:p>
      <w:pPr>
        <w:pStyle w:val="null3"/>
        <w:ind w:firstLine="960"/>
      </w:pPr>
      <w:r>
        <w:rPr>
          <w:rFonts w:ascii="仿宋_GB2312" w:hAnsi="仿宋_GB2312" w:cs="仿宋_GB2312" w:eastAsia="仿宋_GB2312"/>
        </w:rPr>
        <w:t>详见附件：4.安装、检测与调试方案.docx</w:t>
      </w:r>
    </w:p>
    <w:p>
      <w:pPr>
        <w:pStyle w:val="null3"/>
        <w:ind w:firstLine="960"/>
      </w:pPr>
      <w:r>
        <w:rPr>
          <w:rFonts w:ascii="仿宋_GB2312" w:hAnsi="仿宋_GB2312" w:cs="仿宋_GB2312" w:eastAsia="仿宋_GB2312"/>
        </w:rPr>
        <w:t>详见附件：5.质量管理体系与质量承诺.docx</w:t>
      </w:r>
    </w:p>
    <w:p>
      <w:pPr>
        <w:pStyle w:val="null3"/>
        <w:ind w:firstLine="960"/>
      </w:pPr>
      <w:r>
        <w:rPr>
          <w:rFonts w:ascii="仿宋_GB2312" w:hAnsi="仿宋_GB2312" w:cs="仿宋_GB2312" w:eastAsia="仿宋_GB2312"/>
        </w:rPr>
        <w:t>详见附件：6.服务保障方案.docx</w:t>
      </w:r>
    </w:p>
    <w:p>
      <w:pPr>
        <w:pStyle w:val="null3"/>
        <w:ind w:firstLine="960"/>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