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版本号：ZCSP-渭南市-2025-00692、XHLJZC-WN2025-100-120251022001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专家公寓采购项目(二次)</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ZCSP-渭南市-2025-00692、XHLJZC-WN2025-100-1</w:t>
      </w:r>
      <w:r>
        <w:br/>
      </w:r>
      <w:r>
        <w:br/>
      </w:r>
      <w:r>
        <w:br/>
      </w:r>
      <w:r>
        <w:br/>
      </w:r>
      <w:r>
        <w:br/>
      </w:r>
    </w:p>
    <w:p>
      <w:pPr>
        <w:pStyle w:val="null3"/>
        <w:jc w:val="center"/>
        <w:outlineLvl w:val="5"/>
      </w:pPr>
      <w:r>
        <w:rPr>
          <w:rFonts w:ascii="仿宋_GB2312" w:hAnsi="仿宋_GB2312" w:cs="仿宋_GB2312" w:eastAsia="仿宋_GB2312"/>
          <w:sz w:val="15"/>
          <w:b/>
        </w:rPr>
        <w:t>渭南市中心医院</w:t>
      </w:r>
    </w:p>
    <w:p>
      <w:pPr>
        <w:pStyle w:val="null3"/>
        <w:jc w:val="center"/>
        <w:outlineLvl w:val="5"/>
      </w:pPr>
      <w:r>
        <w:rPr>
          <w:rFonts w:ascii="仿宋_GB2312" w:hAnsi="仿宋_GB2312" w:cs="仿宋_GB2312" w:eastAsia="仿宋_GB2312"/>
          <w:sz w:val="15"/>
          <w:b/>
        </w:rPr>
        <w:t>西安欣华联建工程咨询有限公司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专家公寓采购项目(二次)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ZCSP-渭南市-2025-00692、XHLJZC-WN2025-100-1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专家公寓采购项目(二次)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专家公寓采购，详见单一来源采购文件。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采购包1（渭南市中心医院专家公寓采购项目）：属于专门面向中小企业采购。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7、资质条件：提供所售房屋有效的《国有土地使用证》、《建设用地规划许可证》、《建设工程规划许可证》、《建筑工程施工许可证》、《商品房预售许可证》。</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（1）应有《国有土地使用证》、《建设用地规划许可证》、《建设工程规划许可证》、《建筑工程施工许可证》、《商品房预售许可证》和其他应具有的单证；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专家公寓采购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4,650,000.00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专家公寓采购项目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房地产开发经营</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标的名称：专家公寓采购项目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（一）项目明细资料</w:t>
            </w:r>
          </w:p>
          <w:p>
            <w:pPr>
              <w:pStyle w:val="null3"/>
              <w:jc w:val="both"/>
            </w:pPr>
            <w:r>
              <w:rPr>
                <w:rFonts w:ascii="仿宋_GB2312" w:hAnsi="仿宋_GB2312" w:cs="仿宋_GB2312" w:eastAsia="仿宋_GB2312"/>
                <w:sz w:val="21"/>
              </w:rPr>
              <w:t>1、项目名称：专家公寓采购</w:t>
            </w:r>
          </w:p>
          <w:p>
            <w:pPr>
              <w:pStyle w:val="null3"/>
              <w:jc w:val="both"/>
            </w:pPr>
            <w:r>
              <w:rPr>
                <w:rFonts w:ascii="仿宋_GB2312" w:hAnsi="仿宋_GB2312" w:cs="仿宋_GB2312" w:eastAsia="仿宋_GB2312"/>
                <w:sz w:val="21"/>
              </w:rPr>
              <w:t>2、数量：10套，562.27平方米</w:t>
            </w:r>
          </w:p>
          <w:p>
            <w:pPr>
              <w:pStyle w:val="null3"/>
              <w:jc w:val="both"/>
            </w:pPr>
            <w:r>
              <w:rPr>
                <w:rFonts w:ascii="仿宋_GB2312" w:hAnsi="仿宋_GB2312" w:cs="仿宋_GB2312" w:eastAsia="仿宋_GB2312"/>
                <w:sz w:val="21"/>
              </w:rPr>
              <w:t>3、预算金额：500万</w:t>
            </w:r>
          </w:p>
          <w:p>
            <w:pPr>
              <w:pStyle w:val="null3"/>
              <w:jc w:val="both"/>
            </w:pPr>
            <w:r>
              <w:rPr>
                <w:rFonts w:ascii="仿宋_GB2312" w:hAnsi="仿宋_GB2312" w:cs="仿宋_GB2312" w:eastAsia="仿宋_GB2312"/>
                <w:sz w:val="21"/>
              </w:rPr>
              <w:t>4、最高限价：465万，其中450万用于房屋购置（需满足拎包入住要求，包含装修、家具、家电、家居用品等），15万用于办理房产证、契税、大修基金支付使用。</w:t>
            </w:r>
          </w:p>
          <w:p>
            <w:pPr>
              <w:pStyle w:val="null3"/>
              <w:jc w:val="both"/>
            </w:pPr>
            <w:r>
              <w:rPr>
                <w:rFonts w:ascii="仿宋_GB2312" w:hAnsi="仿宋_GB2312" w:cs="仿宋_GB2312" w:eastAsia="仿宋_GB2312"/>
                <w:sz w:val="21"/>
              </w:rPr>
              <w:t>（二）项目功能要求及技术参数</w:t>
            </w:r>
          </w:p>
          <w:p>
            <w:pPr>
              <w:pStyle w:val="null3"/>
              <w:jc w:val="both"/>
            </w:pPr>
            <w:r>
              <w:rPr>
                <w:rFonts w:ascii="仿宋_GB2312" w:hAnsi="仿宋_GB2312" w:cs="仿宋_GB2312" w:eastAsia="仿宋_GB2312"/>
                <w:sz w:val="21"/>
              </w:rPr>
              <w:t>1、须满足拎包入住。</w:t>
            </w:r>
          </w:p>
          <w:p>
            <w:pPr>
              <w:pStyle w:val="null3"/>
              <w:jc w:val="both"/>
            </w:pPr>
            <w:r>
              <w:rPr>
                <w:rFonts w:ascii="仿宋_GB2312" w:hAnsi="仿宋_GB2312" w:cs="仿宋_GB2312" w:eastAsia="仿宋_GB2312"/>
                <w:sz w:val="21"/>
              </w:rPr>
              <w:t>2、所售房屋需距渭南市中心医院步行5分钟内到达，按照3公里/小时时速计算，距离为250米以内。</w:t>
            </w:r>
          </w:p>
          <w:p>
            <w:pPr>
              <w:pStyle w:val="null3"/>
            </w:pPr>
            <w:r>
              <w:rPr>
                <w:rFonts w:ascii="仿宋_GB2312" w:hAnsi="仿宋_GB2312" w:cs="仿宋_GB2312" w:eastAsia="仿宋_GB2312"/>
                <w:sz w:val="21"/>
              </w:rPr>
              <w:t>3、办理房产证、契税、大修基金相关款项由供应商办理完成相关手续后，医院直接交付至相关责任单位或部门。</w:t>
            </w:r>
          </w:p>
          <w:p>
            <w:pPr>
              <w:pStyle w:val="null3"/>
            </w:pPr>
            <w:r>
              <w:rPr>
                <w:rFonts w:ascii="仿宋_GB2312" w:hAnsi="仿宋_GB2312" w:cs="仿宋_GB2312" w:eastAsia="仿宋_GB2312"/>
                <w:sz w:val="21"/>
              </w:rPr>
              <w:t>4、整屋防水质保五年。</w:t>
            </w:r>
          </w:p>
          <w:tbl>
            <w:tblPr>
              <w:tblInd w:type="dxa" w:w="90"/>
              <w:tblBorders>
                <w:top w:val="none" w:color="000000" w:sz="4"/>
                <w:left w:val="none" w:color="000000" w:sz="4"/>
                <w:bottom w:val="none" w:color="000000" w:sz="4"/>
                <w:right w:val="none" w:color="000000" w:sz="4"/>
                <w:insideH w:val="none"/>
                <w:insideV w:val="none"/>
              </w:tblBorders>
            </w:tblPr>
            <w:tblGrid>
              <w:gridCol w:w="160"/>
              <w:gridCol w:w="589"/>
              <w:gridCol w:w="362"/>
              <w:gridCol w:w="417"/>
              <w:gridCol w:w="526"/>
              <w:gridCol w:w="497"/>
            </w:tblGrid>
            <w:tr>
              <w:tc>
                <w:tcPr>
                  <w:tcW w:type="dxa" w:w="2551"/>
                  <w:gridSpan w:val="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b/>
                      <w:color w:val="000000"/>
                    </w:rPr>
                    <w:t>房间软装及配备电器、物品等要求</w:t>
                  </w:r>
                </w:p>
              </w:tc>
            </w:tr>
            <w:tr>
              <w:tc>
                <w:tcPr>
                  <w:tcW w:type="dxa" w:w="160"/>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b/>
                      <w:color w:val="000000"/>
                    </w:rPr>
                    <w:t>序号</w:t>
                  </w:r>
                </w:p>
              </w:tc>
              <w:tc>
                <w:tcPr>
                  <w:tcW w:type="dxa" w:w="589"/>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b/>
                      <w:color w:val="000000"/>
                    </w:rPr>
                    <w:t>项目名称</w:t>
                  </w:r>
                </w:p>
              </w:tc>
              <w:tc>
                <w:tcPr>
                  <w:tcW w:type="dxa" w:w="36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b/>
                      <w:color w:val="000000"/>
                    </w:rPr>
                    <w:t>项目特征</w:t>
                  </w:r>
                </w:p>
              </w:tc>
              <w:tc>
                <w:tcPr>
                  <w:tcW w:type="dxa" w:w="417"/>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b/>
                      <w:color w:val="000000"/>
                    </w:rPr>
                    <w:t>单位</w:t>
                  </w:r>
                </w:p>
              </w:tc>
              <w:tc>
                <w:tcPr>
                  <w:tcW w:type="dxa" w:w="52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b/>
                      <w:color w:val="000000"/>
                    </w:rPr>
                    <w:t>数量</w:t>
                  </w:r>
                </w:p>
              </w:tc>
              <w:tc>
                <w:tcPr>
                  <w:tcW w:type="dxa" w:w="497"/>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18"/>
                      <w:b/>
                      <w:color w:val="000000"/>
                    </w:rPr>
                    <w:t>备 注</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饮水机</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台</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每户1个</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晾衣杆</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套</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每户1个</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3</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晾衣架</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个</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每户10个</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4</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垃圾桶</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个</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30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每户3个</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5</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炒锅</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个</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每户1个</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6</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厨房三件套</w:t>
                  </w:r>
                  <w:r>
                    <w:br/>
                  </w:r>
                  <w:r>
                    <w:rPr>
                      <w:rFonts w:ascii="仿宋_GB2312" w:hAnsi="仿宋_GB2312" w:cs="仿宋_GB2312" w:eastAsia="仿宋_GB2312"/>
                      <w:sz w:val="18"/>
                      <w:color w:val="000000"/>
                    </w:rPr>
                    <w:t>（铲子、漏勺、汤勺）</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个</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每户1套</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7</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碗、盘、筷、勺</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套</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30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每户3套</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8</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沙发盖布1</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套</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根据实际情况配置</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9</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沙发套2</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套</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根据实际情况配置</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床上四件套</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个</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11</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1.8m床</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11</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被子</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个</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11</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1.8m床</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12</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枕头</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对</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11</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每床1对2个</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13</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门禁系统</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供应到位</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rPr>
                    <w:t>套</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rPr>
                    <w:t>3</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rPr>
                    <w:t>2个楼梯间及电梯间安装</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14</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烟机灶具</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套</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15</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热水器</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台</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16</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冰箱</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台</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17</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洗衣机</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台</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18</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电视</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台</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0"/>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19</w:t>
                  </w:r>
                </w:p>
              </w:tc>
              <w:tc>
                <w:tcPr>
                  <w:tcW w:type="dxa" w:w="58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壁挂式空调</w:t>
                  </w:r>
                </w:p>
              </w:tc>
              <w:tc>
                <w:tcPr>
                  <w:tcW w:type="dxa" w:w="362"/>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台</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功率P数:2P</w:t>
                  </w:r>
                </w:p>
              </w:tc>
            </w:tr>
            <w:tr>
              <w:tc>
                <w:tcPr>
                  <w:tcW w:type="dxa" w:w="160"/>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功率P数:1P</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20</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沙发</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个</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11</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rPr>
                    <w:t>1个单人，9个双人，1个三人</w:t>
                  </w: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21</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茶几</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个</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22</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床</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张</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11</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23</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床头柜</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个</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11</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24</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床垫</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张</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11</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25</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椅子</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张</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根据实际情况配置</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26</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窗帘</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件</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根据实际情况配置</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27</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玄关柜</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10</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28</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衣柜</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11</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29</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单椅</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张</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根据实际情况配置</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30</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餐桌</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张</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根据实际情况配置</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31</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书桌</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张</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根据实际情况配置</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r>
              <w:tc>
                <w:tcPr>
                  <w:tcW w:type="dxa" w:w="16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32</w:t>
                  </w:r>
                </w:p>
              </w:tc>
              <w:tc>
                <w:tcPr>
                  <w:tcW w:type="dxa" w:w="5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挂画</w:t>
                  </w:r>
                </w:p>
              </w:tc>
              <w:tc>
                <w:tcPr>
                  <w:tcW w:type="dxa" w:w="36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18"/>
                      <w:color w:val="000000"/>
                    </w:rPr>
                    <w:t>主材供应及安装</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组</w:t>
                  </w:r>
                </w:p>
              </w:tc>
              <w:tc>
                <w:tcPr>
                  <w:tcW w:type="dxa" w:w="5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18"/>
                      <w:color w:val="000000"/>
                    </w:rPr>
                    <w:t>根据实际情况配置</w:t>
                  </w:r>
                </w:p>
              </w:tc>
              <w:tc>
                <w:tcPr>
                  <w:tcW w:type="dxa" w:w="49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合同签订后三个月内完成所有房屋装修。</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合同签订（合同总金额的80%内包含15万用于办理房产证、契税、大修基金等费用支付使用，甲乙双方协商决定该费用由乙方代缴或由甲方直接缴纳）</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达到拎包入住条件经验收合格后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使用六个月后无任何质量问题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验收以合同、单一来源采购文件、响应文件、证书、国家相应的标准、规范等为依据。符合合同要求。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质保期：1.有防水要求的卫生间、房间和外墙面的防渗漏，为5年。2. 供热系统，为2个采暖期。3. 电气管线、给排水管道、设备安装和装修工程，为2年。 4.家具及家不得低于1年。5.建设工程的保修期，自竣工验收合格之日起计算 。</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违约责任：1、采购人逾期付款，应就逾期部分向供应商支付按照中国人民银行规定的同期贷款基准利率计算的逾期付款违约金。2、采购人违反合同规定拒绝接收房屋的，应当承担由此对供应商造成的损失。3、供应商不能按期交付房屋的，每逾期1日，应向采购人赔付合同总价的0.1%作为违约金。4、供应商所交系统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（1）本项目的装修施工按照国家相关要求、规范执行，施工过程中所需办理的相关手续均有供应商承担，医院可协助办理。相关材料按照要求供住建等监督部门审核。 （2）报价含人工费、材料费、器械费、安全措施费、运输费、风险费、图审费、检验检测费、利润、税等但不仅限于此(装修期间含水、电费)。如有遗漏，视为已包含在内。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提供所售房屋有效的《国有土地使用证》、《建设用地规划许可证》、《建设工程规划许可证》、《建筑工程施工许可证》、《商品房预售许可证》。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分项报价表 中小企业声明函 技术要求响应表 报价表 商务要求响应表 投标方案说明 响应文件封面 政府采购供应商拒绝政府采购领域商业贿赂承诺书 残疾人福利性单位声明函 供应商资格声明文件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（1）报价未超过本项目最高限价（2）未出现选择性报价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（1）符合单一来源采购文件规定的实质性要求（2）投标有效期符合单一来源采购文件的要求</w:t>
            </w:r>
          </w:p>
        </w:tc>
        <w:tc>
          <w:tcPr>
            <w:tcW w:type="dxa" w:w="1661"/>
          </w:tcPr>
          <w:p>
            <w:pPr>
              <w:pStyle w:val="null3"/>
            </w:pPr>
            <w:r>
              <w:rPr>
                <w:rFonts w:ascii="仿宋_GB2312" w:hAnsi="仿宋_GB2312" w:cs="仿宋_GB2312" w:eastAsia="仿宋_GB2312"/>
              </w:rPr>
              <w:t>技术要求响应表 商务要求响应表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（1）符合商务、技术要求，不存在重大负偏离（2）未附有采购人不能接受的条件（3）未违反《中华人民共和国政府采购法》和其他相关法律、法规的规定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