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F9171">
      <w:pPr>
        <w:pStyle w:val="4"/>
        <w:keepNext w:val="0"/>
        <w:keepLines w:val="0"/>
        <w:pageBreakBefore w:val="0"/>
        <w:widowControl w:val="0"/>
        <w:kinsoku/>
        <w:wordWrap/>
        <w:overflowPunct/>
        <w:topLinePunct w:val="0"/>
        <w:autoSpaceDE/>
        <w:autoSpaceDN/>
        <w:bidi w:val="0"/>
        <w:adjustRightInd/>
        <w:snapToGrid/>
        <w:textAlignment w:val="auto"/>
        <w:outlineLvl w:val="3"/>
        <w:rPr>
          <w:rFonts w:hint="eastAsia" w:ascii="仿宋_GB2312" w:hAnsi="仿宋_GB2312" w:eastAsia="仿宋_GB2312" w:cs="仿宋_GB2312"/>
        </w:rPr>
      </w:pPr>
      <w:bookmarkStart w:id="0" w:name="_Toc163466300"/>
      <w:bookmarkStart w:id="1" w:name="_Toc58504447"/>
      <w:bookmarkStart w:id="2" w:name="_Toc63697169"/>
      <w:bookmarkStart w:id="3" w:name="_Toc163466370"/>
      <w:bookmarkStart w:id="4" w:name="_Toc385992324"/>
      <w:bookmarkStart w:id="5" w:name="_Toc163466272"/>
      <w:bookmarkStart w:id="6" w:name="_Toc163466154"/>
      <w:bookmarkStart w:id="7" w:name="_Toc17469"/>
      <w:r>
        <w:rPr>
          <w:rFonts w:hint="eastAsia" w:ascii="仿宋_GB2312" w:hAnsi="仿宋_GB2312" w:eastAsia="仿宋_GB2312" w:cs="仿宋_GB2312"/>
        </w:rPr>
        <w:t>合同草案条款</w:t>
      </w:r>
      <w:bookmarkEnd w:id="0"/>
      <w:bookmarkEnd w:id="1"/>
      <w:bookmarkEnd w:id="2"/>
      <w:bookmarkEnd w:id="3"/>
      <w:bookmarkEnd w:id="4"/>
      <w:bookmarkEnd w:id="5"/>
      <w:bookmarkEnd w:id="6"/>
      <w:bookmarkEnd w:id="7"/>
    </w:p>
    <w:p w14:paraId="183E50CE">
      <w:pPr>
        <w:adjustRightInd w:val="0"/>
        <w:snapToGrid w:val="0"/>
        <w:spacing w:line="360" w:lineRule="auto"/>
        <w:ind w:firstLine="482" w:firstLineChars="200"/>
        <w:rPr>
          <w:rFonts w:hint="eastAsia" w:ascii="仿宋" w:hAnsi="仿宋" w:eastAsia="仿宋" w:cs="仿宋_GB2312"/>
          <w:b/>
          <w:sz w:val="24"/>
        </w:rPr>
      </w:pPr>
      <w:r>
        <w:rPr>
          <w:rFonts w:hint="eastAsia" w:ascii="仿宋" w:hAnsi="仿宋" w:eastAsia="仿宋" w:cs="仿宋_GB2312"/>
          <w:b/>
          <w:sz w:val="24"/>
        </w:rPr>
        <w:t xml:space="preserve">甲方：（采购人）         </w:t>
      </w:r>
    </w:p>
    <w:p w14:paraId="29AEAA7B">
      <w:pPr>
        <w:adjustRightInd w:val="0"/>
        <w:snapToGrid w:val="0"/>
        <w:spacing w:line="360" w:lineRule="auto"/>
        <w:ind w:firstLine="482" w:firstLineChars="200"/>
        <w:rPr>
          <w:rFonts w:hint="eastAsia" w:ascii="仿宋" w:hAnsi="仿宋" w:eastAsia="仿宋" w:cs="仿宋_GB2312"/>
          <w:b/>
          <w:sz w:val="24"/>
        </w:rPr>
      </w:pPr>
      <w:r>
        <w:rPr>
          <w:rFonts w:hint="eastAsia" w:ascii="仿宋" w:hAnsi="仿宋" w:eastAsia="仿宋" w:cs="仿宋_GB2312"/>
          <w:b/>
          <w:sz w:val="24"/>
        </w:rPr>
        <w:t>乙方：（</w:t>
      </w:r>
      <w:r>
        <w:rPr>
          <w:rFonts w:hint="eastAsia" w:ascii="仿宋" w:hAnsi="仿宋" w:eastAsia="仿宋" w:cs="仿宋_GB2312"/>
          <w:b/>
          <w:sz w:val="24"/>
          <w:lang w:val="en-US" w:eastAsia="zh-CN"/>
        </w:rPr>
        <w:t>成交供应商</w:t>
      </w:r>
      <w:r>
        <w:rPr>
          <w:rFonts w:hint="eastAsia" w:ascii="仿宋" w:hAnsi="仿宋" w:eastAsia="仿宋" w:cs="仿宋_GB2312"/>
          <w:b/>
          <w:sz w:val="24"/>
        </w:rPr>
        <w:t xml:space="preserve">）     </w:t>
      </w:r>
    </w:p>
    <w:p w14:paraId="2CCEFAA4">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一、合同内容及金额：即</w:t>
      </w:r>
      <w:r>
        <w:rPr>
          <w:rFonts w:hint="eastAsia" w:ascii="仿宋" w:hAnsi="仿宋" w:eastAsia="仿宋" w:cs="仿宋_GB2312"/>
          <w:sz w:val="24"/>
          <w:lang w:val="en-US" w:eastAsia="zh-CN"/>
        </w:rPr>
        <w:t>成交供应商</w:t>
      </w:r>
      <w:r>
        <w:rPr>
          <w:rFonts w:hint="eastAsia" w:ascii="仿宋" w:hAnsi="仿宋" w:eastAsia="仿宋" w:cs="仿宋_GB2312"/>
          <w:sz w:val="24"/>
        </w:rPr>
        <w:t>的</w:t>
      </w:r>
      <w:r>
        <w:rPr>
          <w:rFonts w:hint="eastAsia" w:ascii="仿宋" w:hAnsi="仿宋" w:eastAsia="仿宋" w:cs="仿宋_GB2312"/>
          <w:sz w:val="24"/>
          <w:lang w:val="en-US" w:eastAsia="zh-CN"/>
        </w:rPr>
        <w:t>响应</w:t>
      </w:r>
      <w:r>
        <w:rPr>
          <w:rFonts w:hint="eastAsia" w:ascii="仿宋" w:hAnsi="仿宋" w:eastAsia="仿宋" w:cs="仿宋_GB2312"/>
          <w:sz w:val="24"/>
        </w:rPr>
        <w:t>内容及其</w:t>
      </w:r>
      <w:r>
        <w:rPr>
          <w:rFonts w:hint="eastAsia" w:ascii="仿宋" w:hAnsi="仿宋" w:eastAsia="仿宋" w:cs="仿宋_GB2312"/>
          <w:sz w:val="24"/>
          <w:lang w:val="en-US" w:eastAsia="zh-CN"/>
        </w:rPr>
        <w:t>成交</w:t>
      </w:r>
      <w:r>
        <w:rPr>
          <w:rFonts w:hint="eastAsia" w:ascii="仿宋" w:hAnsi="仿宋" w:eastAsia="仿宋" w:cs="仿宋_GB2312"/>
          <w:sz w:val="24"/>
        </w:rPr>
        <w:t>总金额。</w:t>
      </w:r>
    </w:p>
    <w:p w14:paraId="1B7223C5">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二、产品技术规格、数量：即交付的产品技术规格、型号、数量与响</w:t>
      </w:r>
      <w:r>
        <w:rPr>
          <w:rFonts w:hint="eastAsia" w:ascii="仿宋" w:hAnsi="仿宋" w:eastAsia="仿宋" w:cs="仿宋_GB2312"/>
          <w:sz w:val="24"/>
          <w:lang w:val="en-US" w:eastAsia="zh-CN"/>
        </w:rPr>
        <w:t>应</w:t>
      </w:r>
      <w:r>
        <w:rPr>
          <w:rFonts w:hint="eastAsia" w:ascii="仿宋" w:hAnsi="仿宋" w:eastAsia="仿宋" w:cs="仿宋_GB2312"/>
          <w:sz w:val="24"/>
        </w:rPr>
        <w:t>文件所指明的，或者与本合同所指明的产品技术规格及型号相一致。</w:t>
      </w:r>
    </w:p>
    <w:p w14:paraId="04D30D45">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供货清单：</w:t>
      </w:r>
    </w:p>
    <w:tbl>
      <w:tblPr>
        <w:tblStyle w:val="5"/>
        <w:tblW w:w="84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810"/>
        <w:gridCol w:w="750"/>
        <w:gridCol w:w="750"/>
        <w:gridCol w:w="945"/>
        <w:gridCol w:w="1005"/>
        <w:gridCol w:w="1980"/>
        <w:gridCol w:w="1425"/>
      </w:tblGrid>
      <w:tr w14:paraId="227D1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757" w:type="dxa"/>
            <w:vAlign w:val="bottom"/>
          </w:tcPr>
          <w:p w14:paraId="2FB0B53B">
            <w:pPr>
              <w:widowControl/>
              <w:spacing w:line="360" w:lineRule="auto"/>
              <w:rPr>
                <w:rFonts w:hint="eastAsia" w:ascii="仿宋" w:hAnsi="仿宋" w:eastAsia="仿宋" w:cs="仿宋_GB2312"/>
                <w:b/>
                <w:bCs/>
                <w:kern w:val="0"/>
                <w:szCs w:val="21"/>
              </w:rPr>
            </w:pPr>
            <w:r>
              <w:rPr>
                <w:rFonts w:hint="eastAsia" w:ascii="仿宋" w:hAnsi="仿宋" w:eastAsia="仿宋" w:cs="仿宋_GB2312"/>
                <w:b/>
                <w:bCs/>
                <w:kern w:val="0"/>
                <w:szCs w:val="21"/>
              </w:rPr>
              <w:t>序号</w:t>
            </w:r>
          </w:p>
        </w:tc>
        <w:tc>
          <w:tcPr>
            <w:tcW w:w="810" w:type="dxa"/>
            <w:vAlign w:val="bottom"/>
          </w:tcPr>
          <w:p w14:paraId="292575DF">
            <w:pPr>
              <w:widowControl/>
              <w:spacing w:line="360" w:lineRule="auto"/>
              <w:jc w:val="center"/>
              <w:rPr>
                <w:rFonts w:hint="eastAsia" w:ascii="仿宋" w:hAnsi="仿宋" w:eastAsia="仿宋" w:cs="仿宋_GB2312"/>
                <w:b/>
                <w:bCs/>
                <w:kern w:val="0"/>
                <w:szCs w:val="21"/>
              </w:rPr>
            </w:pPr>
            <w:r>
              <w:rPr>
                <w:rFonts w:hint="eastAsia" w:ascii="仿宋" w:hAnsi="仿宋" w:eastAsia="仿宋" w:cs="仿宋_GB2312"/>
                <w:b/>
                <w:bCs/>
                <w:kern w:val="0"/>
                <w:szCs w:val="21"/>
              </w:rPr>
              <w:t>名称</w:t>
            </w:r>
          </w:p>
        </w:tc>
        <w:tc>
          <w:tcPr>
            <w:tcW w:w="750" w:type="dxa"/>
            <w:vAlign w:val="bottom"/>
          </w:tcPr>
          <w:p w14:paraId="1D27B2E5">
            <w:pPr>
              <w:widowControl/>
              <w:spacing w:line="360" w:lineRule="auto"/>
              <w:jc w:val="center"/>
              <w:rPr>
                <w:rFonts w:hint="eastAsia" w:ascii="仿宋" w:hAnsi="仿宋" w:eastAsia="仿宋" w:cs="仿宋_GB2312"/>
                <w:b/>
                <w:bCs/>
                <w:kern w:val="0"/>
                <w:szCs w:val="21"/>
              </w:rPr>
            </w:pPr>
            <w:r>
              <w:rPr>
                <w:rFonts w:hint="eastAsia" w:ascii="仿宋" w:hAnsi="仿宋" w:eastAsia="仿宋" w:cs="仿宋_GB2312"/>
                <w:b/>
                <w:bCs/>
                <w:kern w:val="0"/>
                <w:szCs w:val="21"/>
              </w:rPr>
              <w:t>数量</w:t>
            </w:r>
          </w:p>
        </w:tc>
        <w:tc>
          <w:tcPr>
            <w:tcW w:w="750" w:type="dxa"/>
            <w:vAlign w:val="bottom"/>
          </w:tcPr>
          <w:p w14:paraId="1706CE97">
            <w:pPr>
              <w:widowControl/>
              <w:spacing w:line="360" w:lineRule="auto"/>
              <w:jc w:val="center"/>
              <w:rPr>
                <w:rFonts w:hint="eastAsia" w:ascii="仿宋" w:hAnsi="仿宋" w:eastAsia="仿宋" w:cs="仿宋_GB2312"/>
                <w:b/>
                <w:bCs/>
                <w:kern w:val="0"/>
                <w:szCs w:val="21"/>
              </w:rPr>
            </w:pPr>
            <w:r>
              <w:rPr>
                <w:rFonts w:hint="eastAsia" w:ascii="仿宋" w:hAnsi="仿宋" w:eastAsia="仿宋" w:cs="仿宋_GB2312"/>
                <w:b/>
                <w:bCs/>
                <w:kern w:val="0"/>
                <w:szCs w:val="21"/>
              </w:rPr>
              <w:t>单位</w:t>
            </w:r>
          </w:p>
        </w:tc>
        <w:tc>
          <w:tcPr>
            <w:tcW w:w="945" w:type="dxa"/>
            <w:vAlign w:val="bottom"/>
          </w:tcPr>
          <w:p w14:paraId="7B3030B2">
            <w:pPr>
              <w:widowControl/>
              <w:spacing w:line="360" w:lineRule="auto"/>
              <w:jc w:val="center"/>
              <w:rPr>
                <w:rFonts w:hint="eastAsia" w:ascii="仿宋" w:hAnsi="仿宋" w:eastAsia="仿宋" w:cs="仿宋_GB2312"/>
                <w:b/>
                <w:bCs/>
                <w:kern w:val="0"/>
                <w:szCs w:val="21"/>
              </w:rPr>
            </w:pPr>
            <w:r>
              <w:rPr>
                <w:rFonts w:hint="eastAsia" w:ascii="仿宋" w:hAnsi="仿宋" w:eastAsia="仿宋" w:cs="仿宋_GB2312"/>
                <w:b/>
                <w:bCs/>
                <w:kern w:val="0"/>
                <w:szCs w:val="21"/>
              </w:rPr>
              <w:t>单价</w:t>
            </w:r>
          </w:p>
        </w:tc>
        <w:tc>
          <w:tcPr>
            <w:tcW w:w="1005" w:type="dxa"/>
            <w:vAlign w:val="bottom"/>
          </w:tcPr>
          <w:p w14:paraId="02C92590">
            <w:pPr>
              <w:spacing w:line="360" w:lineRule="auto"/>
              <w:jc w:val="center"/>
              <w:rPr>
                <w:rFonts w:hint="eastAsia" w:ascii="仿宋" w:hAnsi="仿宋" w:eastAsia="仿宋" w:cs="仿宋_GB2312"/>
                <w:b/>
                <w:bCs/>
                <w:kern w:val="0"/>
                <w:szCs w:val="21"/>
              </w:rPr>
            </w:pPr>
            <w:r>
              <w:rPr>
                <w:rFonts w:hint="eastAsia" w:ascii="仿宋" w:hAnsi="仿宋" w:eastAsia="仿宋" w:cs="仿宋_GB2312"/>
                <w:b/>
                <w:bCs/>
                <w:kern w:val="0"/>
                <w:szCs w:val="21"/>
              </w:rPr>
              <w:t>金额</w:t>
            </w:r>
          </w:p>
        </w:tc>
        <w:tc>
          <w:tcPr>
            <w:tcW w:w="1980" w:type="dxa"/>
            <w:vAlign w:val="bottom"/>
          </w:tcPr>
          <w:p w14:paraId="79B2B364">
            <w:pPr>
              <w:spacing w:line="360" w:lineRule="auto"/>
              <w:jc w:val="center"/>
              <w:rPr>
                <w:rFonts w:hint="eastAsia" w:ascii="仿宋" w:hAnsi="仿宋" w:eastAsia="仿宋" w:cs="仿宋_GB2312"/>
                <w:b/>
                <w:bCs/>
                <w:kern w:val="0"/>
                <w:szCs w:val="21"/>
              </w:rPr>
            </w:pPr>
            <w:r>
              <w:rPr>
                <w:rFonts w:hint="eastAsia" w:ascii="仿宋" w:hAnsi="仿宋" w:eastAsia="仿宋" w:cs="仿宋_GB2312"/>
                <w:b/>
                <w:bCs/>
                <w:kern w:val="0"/>
                <w:szCs w:val="21"/>
              </w:rPr>
              <w:t>制造厂家</w:t>
            </w:r>
          </w:p>
        </w:tc>
        <w:tc>
          <w:tcPr>
            <w:tcW w:w="1425" w:type="dxa"/>
            <w:vAlign w:val="bottom"/>
          </w:tcPr>
          <w:p w14:paraId="5798F85E">
            <w:pPr>
              <w:widowControl/>
              <w:spacing w:line="360" w:lineRule="auto"/>
              <w:jc w:val="center"/>
              <w:rPr>
                <w:rFonts w:hint="eastAsia" w:ascii="仿宋" w:hAnsi="仿宋" w:eastAsia="仿宋" w:cs="仿宋_GB2312"/>
                <w:b/>
                <w:bCs/>
                <w:kern w:val="0"/>
                <w:szCs w:val="21"/>
              </w:rPr>
            </w:pPr>
            <w:r>
              <w:rPr>
                <w:rFonts w:hint="eastAsia" w:ascii="仿宋" w:hAnsi="仿宋" w:eastAsia="仿宋" w:cs="仿宋_GB2312"/>
                <w:b/>
                <w:bCs/>
                <w:kern w:val="0"/>
                <w:szCs w:val="21"/>
              </w:rPr>
              <w:t>规格和说明</w:t>
            </w:r>
          </w:p>
        </w:tc>
      </w:tr>
      <w:tr w14:paraId="2D0F0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757" w:type="dxa"/>
            <w:vAlign w:val="bottom"/>
          </w:tcPr>
          <w:p w14:paraId="3385711D">
            <w:pPr>
              <w:widowControl/>
              <w:spacing w:line="360" w:lineRule="auto"/>
              <w:rPr>
                <w:rFonts w:hint="eastAsia" w:ascii="仿宋" w:hAnsi="仿宋" w:eastAsia="仿宋" w:cs="仿宋_GB2312"/>
                <w:b/>
                <w:bCs/>
                <w:kern w:val="0"/>
                <w:sz w:val="18"/>
                <w:szCs w:val="18"/>
              </w:rPr>
            </w:pPr>
          </w:p>
        </w:tc>
        <w:tc>
          <w:tcPr>
            <w:tcW w:w="810" w:type="dxa"/>
            <w:vAlign w:val="bottom"/>
          </w:tcPr>
          <w:p w14:paraId="2151455F">
            <w:pPr>
              <w:widowControl/>
              <w:spacing w:line="360" w:lineRule="auto"/>
              <w:jc w:val="center"/>
              <w:rPr>
                <w:rFonts w:hint="eastAsia" w:ascii="仿宋" w:hAnsi="仿宋" w:eastAsia="仿宋" w:cs="仿宋_GB2312"/>
                <w:b/>
                <w:bCs/>
                <w:kern w:val="0"/>
                <w:sz w:val="18"/>
                <w:szCs w:val="18"/>
              </w:rPr>
            </w:pPr>
          </w:p>
        </w:tc>
        <w:tc>
          <w:tcPr>
            <w:tcW w:w="750" w:type="dxa"/>
            <w:vAlign w:val="bottom"/>
          </w:tcPr>
          <w:p w14:paraId="45DF0D33">
            <w:pPr>
              <w:widowControl/>
              <w:spacing w:line="360" w:lineRule="auto"/>
              <w:jc w:val="center"/>
              <w:rPr>
                <w:rFonts w:hint="eastAsia" w:ascii="仿宋" w:hAnsi="仿宋" w:eastAsia="仿宋" w:cs="仿宋_GB2312"/>
                <w:b/>
                <w:bCs/>
                <w:kern w:val="0"/>
                <w:sz w:val="18"/>
                <w:szCs w:val="18"/>
              </w:rPr>
            </w:pPr>
          </w:p>
        </w:tc>
        <w:tc>
          <w:tcPr>
            <w:tcW w:w="750" w:type="dxa"/>
            <w:vAlign w:val="bottom"/>
          </w:tcPr>
          <w:p w14:paraId="190A4681">
            <w:pPr>
              <w:widowControl/>
              <w:spacing w:line="360" w:lineRule="auto"/>
              <w:jc w:val="center"/>
              <w:rPr>
                <w:rFonts w:hint="eastAsia" w:ascii="仿宋" w:hAnsi="仿宋" w:eastAsia="仿宋" w:cs="仿宋_GB2312"/>
                <w:b/>
                <w:bCs/>
                <w:kern w:val="0"/>
                <w:sz w:val="18"/>
                <w:szCs w:val="18"/>
              </w:rPr>
            </w:pPr>
          </w:p>
        </w:tc>
        <w:tc>
          <w:tcPr>
            <w:tcW w:w="945" w:type="dxa"/>
            <w:vAlign w:val="bottom"/>
          </w:tcPr>
          <w:p w14:paraId="3A3F88B2">
            <w:pPr>
              <w:widowControl/>
              <w:spacing w:line="360" w:lineRule="auto"/>
              <w:jc w:val="center"/>
              <w:rPr>
                <w:rFonts w:hint="eastAsia" w:ascii="仿宋" w:hAnsi="仿宋" w:eastAsia="仿宋" w:cs="仿宋_GB2312"/>
                <w:b/>
                <w:bCs/>
                <w:kern w:val="0"/>
                <w:sz w:val="18"/>
                <w:szCs w:val="18"/>
              </w:rPr>
            </w:pPr>
          </w:p>
        </w:tc>
        <w:tc>
          <w:tcPr>
            <w:tcW w:w="1005" w:type="dxa"/>
            <w:vAlign w:val="bottom"/>
          </w:tcPr>
          <w:p w14:paraId="326BF998">
            <w:pPr>
              <w:widowControl/>
              <w:spacing w:line="360" w:lineRule="auto"/>
              <w:jc w:val="center"/>
              <w:rPr>
                <w:rFonts w:hint="eastAsia" w:ascii="仿宋" w:hAnsi="仿宋" w:eastAsia="仿宋" w:cs="仿宋_GB2312"/>
                <w:b/>
                <w:bCs/>
                <w:kern w:val="0"/>
                <w:sz w:val="18"/>
                <w:szCs w:val="18"/>
              </w:rPr>
            </w:pPr>
          </w:p>
        </w:tc>
        <w:tc>
          <w:tcPr>
            <w:tcW w:w="1980" w:type="dxa"/>
            <w:vAlign w:val="bottom"/>
          </w:tcPr>
          <w:p w14:paraId="73530964">
            <w:pPr>
              <w:widowControl/>
              <w:spacing w:line="360" w:lineRule="auto"/>
              <w:jc w:val="center"/>
              <w:rPr>
                <w:rFonts w:hint="eastAsia" w:ascii="仿宋" w:hAnsi="仿宋" w:eastAsia="仿宋" w:cs="仿宋_GB2312"/>
                <w:b/>
                <w:bCs/>
                <w:kern w:val="0"/>
                <w:sz w:val="18"/>
                <w:szCs w:val="18"/>
              </w:rPr>
            </w:pPr>
          </w:p>
        </w:tc>
        <w:tc>
          <w:tcPr>
            <w:tcW w:w="1425" w:type="dxa"/>
            <w:vAlign w:val="bottom"/>
          </w:tcPr>
          <w:p w14:paraId="539C44FA">
            <w:pPr>
              <w:widowControl/>
              <w:spacing w:line="360" w:lineRule="auto"/>
              <w:jc w:val="center"/>
              <w:rPr>
                <w:rFonts w:hint="eastAsia" w:ascii="仿宋" w:hAnsi="仿宋" w:eastAsia="仿宋" w:cs="仿宋_GB2312"/>
                <w:b/>
                <w:bCs/>
                <w:kern w:val="0"/>
                <w:sz w:val="18"/>
                <w:szCs w:val="18"/>
              </w:rPr>
            </w:pPr>
          </w:p>
        </w:tc>
      </w:tr>
      <w:tr w14:paraId="5A909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757" w:type="dxa"/>
            <w:vAlign w:val="bottom"/>
          </w:tcPr>
          <w:p w14:paraId="35074F7F">
            <w:pPr>
              <w:widowControl/>
              <w:spacing w:line="360" w:lineRule="auto"/>
              <w:rPr>
                <w:rFonts w:hint="eastAsia" w:ascii="仿宋" w:hAnsi="仿宋" w:eastAsia="仿宋" w:cs="仿宋_GB2312"/>
                <w:b/>
                <w:bCs/>
                <w:kern w:val="0"/>
                <w:sz w:val="18"/>
                <w:szCs w:val="18"/>
              </w:rPr>
            </w:pPr>
          </w:p>
        </w:tc>
        <w:tc>
          <w:tcPr>
            <w:tcW w:w="810" w:type="dxa"/>
            <w:vAlign w:val="bottom"/>
          </w:tcPr>
          <w:p w14:paraId="74819679">
            <w:pPr>
              <w:widowControl/>
              <w:spacing w:line="360" w:lineRule="auto"/>
              <w:jc w:val="center"/>
              <w:rPr>
                <w:rFonts w:hint="eastAsia" w:ascii="仿宋" w:hAnsi="仿宋" w:eastAsia="仿宋" w:cs="仿宋_GB2312"/>
                <w:b/>
                <w:bCs/>
                <w:kern w:val="0"/>
                <w:sz w:val="18"/>
                <w:szCs w:val="18"/>
              </w:rPr>
            </w:pPr>
          </w:p>
        </w:tc>
        <w:tc>
          <w:tcPr>
            <w:tcW w:w="750" w:type="dxa"/>
            <w:vAlign w:val="bottom"/>
          </w:tcPr>
          <w:p w14:paraId="2A7689E8">
            <w:pPr>
              <w:widowControl/>
              <w:spacing w:line="360" w:lineRule="auto"/>
              <w:jc w:val="center"/>
              <w:rPr>
                <w:rFonts w:hint="eastAsia" w:ascii="仿宋" w:hAnsi="仿宋" w:eastAsia="仿宋" w:cs="仿宋_GB2312"/>
                <w:b/>
                <w:bCs/>
                <w:kern w:val="0"/>
                <w:sz w:val="18"/>
                <w:szCs w:val="18"/>
              </w:rPr>
            </w:pPr>
          </w:p>
        </w:tc>
        <w:tc>
          <w:tcPr>
            <w:tcW w:w="750" w:type="dxa"/>
            <w:vAlign w:val="bottom"/>
          </w:tcPr>
          <w:p w14:paraId="20955D21">
            <w:pPr>
              <w:widowControl/>
              <w:spacing w:line="360" w:lineRule="auto"/>
              <w:jc w:val="center"/>
              <w:rPr>
                <w:rFonts w:hint="eastAsia" w:ascii="仿宋" w:hAnsi="仿宋" w:eastAsia="仿宋" w:cs="仿宋_GB2312"/>
                <w:b/>
                <w:bCs/>
                <w:kern w:val="0"/>
                <w:sz w:val="18"/>
                <w:szCs w:val="18"/>
              </w:rPr>
            </w:pPr>
          </w:p>
        </w:tc>
        <w:tc>
          <w:tcPr>
            <w:tcW w:w="945" w:type="dxa"/>
            <w:vAlign w:val="bottom"/>
          </w:tcPr>
          <w:p w14:paraId="1D227848">
            <w:pPr>
              <w:widowControl/>
              <w:spacing w:line="360" w:lineRule="auto"/>
              <w:jc w:val="center"/>
              <w:rPr>
                <w:rFonts w:hint="eastAsia" w:ascii="仿宋" w:hAnsi="仿宋" w:eastAsia="仿宋" w:cs="仿宋_GB2312"/>
                <w:b/>
                <w:bCs/>
                <w:kern w:val="0"/>
                <w:sz w:val="18"/>
                <w:szCs w:val="18"/>
              </w:rPr>
            </w:pPr>
          </w:p>
        </w:tc>
        <w:tc>
          <w:tcPr>
            <w:tcW w:w="1005" w:type="dxa"/>
            <w:vAlign w:val="bottom"/>
          </w:tcPr>
          <w:p w14:paraId="4E6D2BF6">
            <w:pPr>
              <w:widowControl/>
              <w:spacing w:line="360" w:lineRule="auto"/>
              <w:jc w:val="center"/>
              <w:rPr>
                <w:rFonts w:hint="eastAsia" w:ascii="仿宋" w:hAnsi="仿宋" w:eastAsia="仿宋" w:cs="仿宋_GB2312"/>
                <w:b/>
                <w:bCs/>
                <w:kern w:val="0"/>
                <w:sz w:val="18"/>
                <w:szCs w:val="18"/>
              </w:rPr>
            </w:pPr>
          </w:p>
        </w:tc>
        <w:tc>
          <w:tcPr>
            <w:tcW w:w="1980" w:type="dxa"/>
            <w:vAlign w:val="bottom"/>
          </w:tcPr>
          <w:p w14:paraId="4D3C52FC">
            <w:pPr>
              <w:widowControl/>
              <w:spacing w:line="360" w:lineRule="auto"/>
              <w:jc w:val="center"/>
              <w:rPr>
                <w:rFonts w:hint="eastAsia" w:ascii="仿宋" w:hAnsi="仿宋" w:eastAsia="仿宋" w:cs="仿宋_GB2312"/>
                <w:b/>
                <w:bCs/>
                <w:kern w:val="0"/>
                <w:sz w:val="18"/>
                <w:szCs w:val="18"/>
              </w:rPr>
            </w:pPr>
          </w:p>
        </w:tc>
        <w:tc>
          <w:tcPr>
            <w:tcW w:w="1425" w:type="dxa"/>
            <w:vAlign w:val="bottom"/>
          </w:tcPr>
          <w:p w14:paraId="1E48667D">
            <w:pPr>
              <w:widowControl/>
              <w:spacing w:line="360" w:lineRule="auto"/>
              <w:jc w:val="center"/>
              <w:rPr>
                <w:rFonts w:hint="eastAsia" w:ascii="仿宋" w:hAnsi="仿宋" w:eastAsia="仿宋" w:cs="仿宋_GB2312"/>
                <w:b/>
                <w:bCs/>
                <w:kern w:val="0"/>
                <w:sz w:val="18"/>
                <w:szCs w:val="18"/>
              </w:rPr>
            </w:pPr>
          </w:p>
        </w:tc>
      </w:tr>
    </w:tbl>
    <w:p w14:paraId="7791D9EA">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三、知识产权：即成交供应商应保证采购单位在使用应标货物时，不承担任何设计知识产权法律诉讼的责任。</w:t>
      </w:r>
    </w:p>
    <w:p w14:paraId="3161D61A">
      <w:pPr>
        <w:spacing w:line="560" w:lineRule="exact"/>
        <w:ind w:firstLine="480" w:firstLineChars="200"/>
        <w:rPr>
          <w:rFonts w:hint="default" w:ascii="仿宋" w:hAnsi="仿宋" w:eastAsia="仿宋" w:cs="仿宋_GB2312"/>
          <w:sz w:val="24"/>
          <w:u w:val="single"/>
          <w:lang w:val="en-US" w:eastAsia="zh-CN"/>
        </w:rPr>
      </w:pPr>
      <w:r>
        <w:rPr>
          <w:rFonts w:hint="eastAsia" w:ascii="仿宋" w:hAnsi="仿宋" w:eastAsia="仿宋" w:cs="仿宋_GB2312"/>
          <w:sz w:val="24"/>
        </w:rPr>
        <w:t>四、交货期：</w:t>
      </w:r>
      <w:r>
        <w:rPr>
          <w:rFonts w:hint="eastAsia" w:ascii="仿宋" w:hAnsi="仿宋" w:eastAsia="仿宋" w:cs="仿宋"/>
        </w:rPr>
        <w:t>合同签订生效后30天内需要交货完毕、安装调试完成</w:t>
      </w:r>
      <w:r>
        <w:rPr>
          <w:rFonts w:hint="eastAsia" w:ascii="仿宋" w:hAnsi="仿宋" w:eastAsia="仿宋" w:cs="仿宋_GB2312"/>
          <w:sz w:val="24"/>
        </w:rPr>
        <w:t>；质保期：</w:t>
      </w:r>
      <w:bookmarkStart w:id="8" w:name="_Hlk182928458"/>
      <w:r>
        <w:rPr>
          <w:rFonts w:hint="eastAsia" w:ascii="仿宋" w:hAnsi="仿宋" w:eastAsia="仿宋" w:cs="仿宋_GB2312"/>
          <w:sz w:val="24"/>
          <w:u w:val="single"/>
        </w:rPr>
        <w:t>自验收合格后</w:t>
      </w:r>
      <w:bookmarkEnd w:id="8"/>
      <w:r>
        <w:rPr>
          <w:rFonts w:hint="eastAsia" w:ascii="仿宋" w:hAnsi="仿宋" w:eastAsia="仿宋" w:cs="仿宋_GB2312"/>
          <w:sz w:val="24"/>
          <w:u w:val="single"/>
          <w:lang w:eastAsia="zh-CN"/>
        </w:rPr>
        <w:t>（</w:t>
      </w:r>
      <w:r>
        <w:rPr>
          <w:rFonts w:hint="eastAsia" w:ascii="仿宋" w:hAnsi="仿宋" w:eastAsia="仿宋" w:cs="仿宋_GB2312"/>
          <w:sz w:val="24"/>
          <w:u w:val="single"/>
          <w:lang w:val="en-US" w:eastAsia="zh-CN"/>
        </w:rPr>
        <w:t xml:space="preserve">   </w:t>
      </w:r>
      <w:r>
        <w:rPr>
          <w:rFonts w:hint="eastAsia" w:ascii="仿宋" w:hAnsi="仿宋" w:eastAsia="仿宋" w:cs="仿宋_GB2312"/>
          <w:sz w:val="24"/>
          <w:u w:val="single"/>
          <w:lang w:eastAsia="zh-CN"/>
        </w:rPr>
        <w:t>）</w:t>
      </w:r>
      <w:r>
        <w:rPr>
          <w:rFonts w:hint="eastAsia" w:ascii="仿宋" w:hAnsi="仿宋" w:eastAsia="仿宋" w:cs="仿宋_GB2312"/>
          <w:sz w:val="24"/>
          <w:u w:val="single"/>
          <w:lang w:val="en-US" w:eastAsia="zh-CN"/>
        </w:rPr>
        <w:t>年</w:t>
      </w:r>
      <w:r>
        <w:rPr>
          <w:rFonts w:hint="eastAsia" w:ascii="仿宋" w:hAnsi="仿宋" w:eastAsia="仿宋" w:cs="仿宋_GB2312"/>
          <w:sz w:val="24"/>
        </w:rPr>
        <w:t>。</w:t>
      </w:r>
      <w:r>
        <w:rPr>
          <w:rFonts w:hint="eastAsia" w:ascii="仿宋" w:hAnsi="仿宋" w:eastAsia="仿宋" w:cs="仿宋_GB2312"/>
          <w:sz w:val="24"/>
          <w:lang w:val="en-US" w:eastAsia="zh-CN"/>
        </w:rPr>
        <w:t>针对所投产品给予采购人</w:t>
      </w:r>
      <w:r>
        <w:rPr>
          <w:rFonts w:hint="eastAsia" w:ascii="仿宋" w:hAnsi="仿宋" w:eastAsia="仿宋" w:cs="仿宋_GB2312"/>
          <w:sz w:val="24"/>
          <w:u w:val="single"/>
          <w:lang w:val="en-US" w:eastAsia="zh-CN"/>
        </w:rPr>
        <w:t>（  ）</w:t>
      </w:r>
      <w:r>
        <w:rPr>
          <w:rFonts w:hint="eastAsia" w:ascii="仿宋" w:hAnsi="仿宋" w:eastAsia="仿宋" w:cs="仿宋_GB2312"/>
          <w:sz w:val="24"/>
          <w:lang w:val="en-US" w:eastAsia="zh-CN"/>
        </w:rPr>
        <w:t>年免费保修期。</w:t>
      </w:r>
    </w:p>
    <w:p w14:paraId="115F7319">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成交供应商未征得采购单位同意和谅解而单方面延迟交货，将按违约终止合同。</w:t>
      </w:r>
    </w:p>
    <w:p w14:paraId="15CF3CC8">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成交供应商遇到可能妨碍按时交货和提供服务的情况，应当及时以书面形式通知采购单位，说明原由、拖延的期限等；采购单位、采购代理机构在收到通知后，尽快进行情况评估并确定是否通过修改合同，酌情延长交货时间或者通过协商加收误期赔偿金。</w:t>
      </w:r>
    </w:p>
    <w:p w14:paraId="4A5B8F0F">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五、交货地点：北京市朝阳区东三环南路17号京瑞大厦B座10层。</w:t>
      </w:r>
    </w:p>
    <w:p w14:paraId="358C1A73">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六、结算方式：</w:t>
      </w:r>
    </w:p>
    <w:p w14:paraId="5ADF8C1C">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1.结算方式：由采购单位负责结算。</w:t>
      </w:r>
    </w:p>
    <w:p w14:paraId="4D0F024F">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2.合同款的支付：验收合格后，达到付款条件起 30 日内，支付合同总金额的 100.00%。</w:t>
      </w:r>
    </w:p>
    <w:p w14:paraId="53D87F5E">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七、包装：包装必须适应货物特性和交通运输要求，以及国家有关标准或企业标准或合同要求。成交供应商应承担于包装、防护措施不妥引起的所有损失的责任和费用。</w:t>
      </w:r>
    </w:p>
    <w:p w14:paraId="339B1DDA">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八、运输：成交供应商可根据交货期、运输条件自行选择运输方式（另有规定的除外），承担一切运输费用。</w:t>
      </w:r>
    </w:p>
    <w:p w14:paraId="60D512D4">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九、技术保障：成交供应商应随同货物提供相应的中文技术文件（包括产品合格证、装箱清单、操作手册、使用说明、检测报告、维护手册、服务指南等资料）,调试、试运行技术保障服务。</w:t>
      </w:r>
    </w:p>
    <w:p w14:paraId="5FCAAFF1">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十、质量保证</w:t>
      </w:r>
    </w:p>
    <w:p w14:paraId="26DA69CC">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lang w:val="en-US" w:eastAsia="zh-CN"/>
        </w:rPr>
        <w:t>1</w:t>
      </w:r>
      <w:r>
        <w:rPr>
          <w:rFonts w:hint="eastAsia" w:ascii="仿宋" w:hAnsi="仿宋" w:eastAsia="仿宋" w:cs="仿宋_GB2312"/>
          <w:sz w:val="24"/>
        </w:rPr>
        <w:t>.供应商应当保证所供货物的来源渠道正常，产品是全新的、未使用过的、且完全符合合同规定的质量、规格、技术指标等要求，并在质保期内、外应对由于产品设计、工艺或材料的缺陷而产生的质量问题负责。</w:t>
      </w:r>
    </w:p>
    <w:p w14:paraId="6151EEFA">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lang w:val="en-US" w:eastAsia="zh-CN"/>
        </w:rPr>
        <w:t>2</w:t>
      </w:r>
      <w:r>
        <w:rPr>
          <w:rFonts w:hint="eastAsia" w:ascii="仿宋" w:hAnsi="仿宋" w:eastAsia="仿宋" w:cs="仿宋_GB2312"/>
          <w:sz w:val="24"/>
        </w:rPr>
        <w:t>.在质保期内，如果发现货物的质量、规格、技术指标等存在与合同中任何一项不符，采购单位应在最短时间内，以书面形式向供应商提出索赔，同时通告采购代理机构。</w:t>
      </w:r>
    </w:p>
    <w:p w14:paraId="2A3CF237">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lang w:val="en-US" w:eastAsia="zh-CN"/>
        </w:rPr>
        <w:t>3</w:t>
      </w:r>
      <w:r>
        <w:rPr>
          <w:rFonts w:hint="eastAsia" w:ascii="仿宋" w:hAnsi="仿宋" w:eastAsia="仿宋" w:cs="仿宋_GB2312"/>
          <w:sz w:val="24"/>
        </w:rPr>
        <w:t>.供应商在接到采购人报修电话后，在2小时内响应，24小时内派出合格的维修人员到达现场进行维修服务，若需将产品返厂维修，乙方应提供备用机、承担维修产品所需的往返费用。</w:t>
      </w:r>
    </w:p>
    <w:p w14:paraId="77E8A0E1">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十</w:t>
      </w:r>
      <w:r>
        <w:rPr>
          <w:rFonts w:hint="eastAsia" w:ascii="仿宋" w:hAnsi="仿宋" w:eastAsia="仿宋" w:cs="仿宋_GB2312"/>
          <w:sz w:val="24"/>
          <w:lang w:val="en-US" w:eastAsia="zh-CN"/>
        </w:rPr>
        <w:t>一</w:t>
      </w:r>
      <w:r>
        <w:rPr>
          <w:rFonts w:hint="eastAsia" w:ascii="仿宋" w:hAnsi="仿宋" w:eastAsia="仿宋" w:cs="仿宋_GB2312"/>
          <w:sz w:val="24"/>
        </w:rPr>
        <w:t>、采购项目执行内容需要调整时，经采购单位同意后，可以对相应的原材料进行调整，并协商确定价格差额计算方法和负担办法。</w:t>
      </w:r>
    </w:p>
    <w:p w14:paraId="3270C01D">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十</w:t>
      </w:r>
      <w:r>
        <w:rPr>
          <w:rFonts w:hint="eastAsia" w:ascii="仿宋" w:hAnsi="仿宋" w:eastAsia="仿宋" w:cs="仿宋_GB2312"/>
          <w:sz w:val="24"/>
          <w:lang w:val="en-US" w:eastAsia="zh-CN"/>
        </w:rPr>
        <w:t>二</w:t>
      </w:r>
      <w:r>
        <w:rPr>
          <w:rFonts w:hint="eastAsia" w:ascii="仿宋" w:hAnsi="仿宋" w:eastAsia="仿宋" w:cs="仿宋_GB2312"/>
          <w:sz w:val="24"/>
        </w:rPr>
        <w:t>、产品设计变更</w:t>
      </w:r>
    </w:p>
    <w:p w14:paraId="2A86F36D">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成交后，生产加工产品的设计、数量需要变更、调整时，应办理相应的变更、调整审批手续，并协商确定设计变更、数量调整后的产品价款计算方法和工期顺延等事宜。</w:t>
      </w:r>
    </w:p>
    <w:p w14:paraId="16355CBD">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十</w:t>
      </w:r>
      <w:r>
        <w:rPr>
          <w:rFonts w:hint="eastAsia" w:ascii="仿宋" w:hAnsi="仿宋" w:eastAsia="仿宋" w:cs="仿宋_GB2312"/>
          <w:sz w:val="24"/>
          <w:lang w:val="en-US" w:eastAsia="zh-CN"/>
        </w:rPr>
        <w:t>三</w:t>
      </w:r>
      <w:r>
        <w:rPr>
          <w:rFonts w:hint="eastAsia" w:ascii="仿宋" w:hAnsi="仿宋" w:eastAsia="仿宋" w:cs="仿宋_GB2312"/>
          <w:sz w:val="24"/>
        </w:rPr>
        <w:t>、检验：在交货前，制造商应当对产品的质量、规格、数量等进行准确而全面的检验，出具合格证；产品送达指定地点后，成交供应商、采购单位须在约定的时间和地点共同检验。</w:t>
      </w:r>
    </w:p>
    <w:p w14:paraId="13987DEB">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十</w:t>
      </w:r>
      <w:r>
        <w:rPr>
          <w:rFonts w:hint="eastAsia" w:ascii="仿宋" w:hAnsi="仿宋" w:eastAsia="仿宋" w:cs="仿宋_GB2312"/>
          <w:sz w:val="24"/>
          <w:lang w:val="en-US" w:eastAsia="zh-CN"/>
        </w:rPr>
        <w:t>四</w:t>
      </w:r>
      <w:r>
        <w:rPr>
          <w:rFonts w:hint="eastAsia" w:ascii="仿宋" w:hAnsi="仿宋" w:eastAsia="仿宋" w:cs="仿宋_GB2312"/>
          <w:sz w:val="24"/>
        </w:rPr>
        <w:t>、验收：</w:t>
      </w:r>
    </w:p>
    <w:p w14:paraId="5E5B95E9">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1.所供产品的规格、数量符合采购文件供应商投标承诺及采购合同约定的要求。</w:t>
      </w:r>
    </w:p>
    <w:p w14:paraId="23EB5893">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2.所有产品均已运输至指定地点，并安装调试完毕。</w:t>
      </w:r>
    </w:p>
    <w:p w14:paraId="37371DE0">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3.采购文件供应商投标承诺及采购合同约定的附件、工具、技术资料等齐全；提供产品使用说明书、合格证。</w:t>
      </w:r>
    </w:p>
    <w:p w14:paraId="3EA45766">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4.符合竞争性磋商文件和供应商响应文件所要求以及国家相关技术标准，并在项目完成后，由采购人组成验收小组进行验收（必要时聘请相应专家或委托相应部门验收），经过验收小组检查后一致认为已达到要求视为验收合格。</w:t>
      </w:r>
    </w:p>
    <w:p w14:paraId="0B775A51">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十</w:t>
      </w:r>
      <w:r>
        <w:rPr>
          <w:rFonts w:hint="eastAsia" w:ascii="仿宋" w:hAnsi="仿宋" w:eastAsia="仿宋" w:cs="仿宋_GB2312"/>
          <w:sz w:val="24"/>
          <w:lang w:val="en-US" w:eastAsia="zh-CN"/>
        </w:rPr>
        <w:t>五</w:t>
      </w:r>
      <w:r>
        <w:rPr>
          <w:rFonts w:hint="eastAsia" w:ascii="仿宋" w:hAnsi="仿宋" w:eastAsia="仿宋" w:cs="仿宋_GB2312"/>
          <w:sz w:val="24"/>
        </w:rPr>
        <w:t>、合同争议的解决：</w:t>
      </w:r>
      <w:r>
        <w:rPr>
          <w:rFonts w:hint="eastAsia" w:ascii="仿宋" w:hAnsi="仿宋" w:eastAsia="仿宋" w:cs="仿宋"/>
        </w:rPr>
        <w:t>合同执行中发生争议的，当事人双方应协商解决，协商达不成一致时，可向人民法院提请诉讼。</w:t>
      </w:r>
    </w:p>
    <w:p w14:paraId="7CD0963C">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十</w:t>
      </w:r>
      <w:r>
        <w:rPr>
          <w:rFonts w:hint="eastAsia" w:ascii="仿宋" w:hAnsi="仿宋" w:eastAsia="仿宋" w:cs="仿宋_GB2312"/>
          <w:sz w:val="24"/>
          <w:lang w:val="en-US" w:eastAsia="zh-CN"/>
        </w:rPr>
        <w:t>六</w:t>
      </w:r>
      <w:r>
        <w:rPr>
          <w:rFonts w:hint="eastAsia" w:ascii="仿宋" w:hAnsi="仿宋" w:eastAsia="仿宋" w:cs="仿宋_GB2312"/>
          <w:sz w:val="24"/>
        </w:rPr>
        <w:t>、在发生不可抗力情况下的应对措施和解决办法。</w:t>
      </w:r>
    </w:p>
    <w:p w14:paraId="69208091">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十</w:t>
      </w:r>
      <w:r>
        <w:rPr>
          <w:rFonts w:hint="eastAsia" w:ascii="仿宋" w:hAnsi="仿宋" w:eastAsia="仿宋" w:cs="仿宋_GB2312"/>
          <w:sz w:val="24"/>
          <w:lang w:val="en-US" w:eastAsia="zh-CN"/>
        </w:rPr>
        <w:t>七</w:t>
      </w:r>
      <w:r>
        <w:rPr>
          <w:rFonts w:hint="eastAsia" w:ascii="仿宋" w:hAnsi="仿宋" w:eastAsia="仿宋" w:cs="仿宋_GB2312"/>
          <w:sz w:val="24"/>
        </w:rPr>
        <w:t>、合同一经签订，不得擅自变更、中止或者终止合同。对确需变更、调整或者中止、终止合同的，应按规定履行相应的手续。</w:t>
      </w:r>
    </w:p>
    <w:p w14:paraId="1EF135C9">
      <w:pPr>
        <w:spacing w:line="560" w:lineRule="exact"/>
        <w:ind w:firstLine="480" w:firstLineChars="200"/>
        <w:rPr>
          <w:rFonts w:hint="eastAsia" w:ascii="仿宋" w:hAnsi="仿宋" w:eastAsia="仿宋" w:cs="仿宋_GB2312"/>
          <w:sz w:val="24"/>
        </w:rPr>
      </w:pPr>
      <w:r>
        <w:rPr>
          <w:rFonts w:hint="eastAsia" w:ascii="仿宋" w:hAnsi="仿宋" w:eastAsia="仿宋" w:cs="仿宋_GB2312"/>
          <w:sz w:val="24"/>
        </w:rPr>
        <w:t>十</w:t>
      </w:r>
      <w:r>
        <w:rPr>
          <w:rFonts w:hint="eastAsia" w:ascii="仿宋" w:hAnsi="仿宋" w:eastAsia="仿宋" w:cs="仿宋_GB2312"/>
          <w:sz w:val="24"/>
          <w:lang w:val="en-US" w:eastAsia="zh-CN"/>
        </w:rPr>
        <w:t>八</w:t>
      </w:r>
      <w:r>
        <w:rPr>
          <w:rFonts w:hint="eastAsia" w:ascii="仿宋" w:hAnsi="仿宋" w:eastAsia="仿宋" w:cs="仿宋_GB2312"/>
          <w:sz w:val="24"/>
        </w:rPr>
        <w:t>、违约责任：</w:t>
      </w:r>
      <w:r>
        <w:rPr>
          <w:rFonts w:hint="eastAsia" w:ascii="仿宋" w:hAnsi="仿宋" w:eastAsia="仿宋" w:cs="仿宋"/>
        </w:rPr>
        <w:t>依据《中华人民共和国民法典》、《中华人民共和国政府采购法》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26A92435">
      <w:pPr>
        <w:tabs>
          <w:tab w:val="left" w:pos="980"/>
        </w:tabs>
        <w:kinsoku w:val="0"/>
        <w:spacing w:line="560" w:lineRule="exact"/>
        <w:ind w:firstLine="560"/>
        <w:rPr>
          <w:rFonts w:hint="eastAsia" w:ascii="仿宋" w:hAnsi="仿宋" w:eastAsia="仿宋" w:cs="仿宋_GB2312"/>
          <w:sz w:val="24"/>
        </w:rPr>
      </w:pPr>
      <w:r>
        <w:rPr>
          <w:rFonts w:hint="eastAsia" w:ascii="仿宋" w:hAnsi="仿宋" w:eastAsia="仿宋" w:cs="仿宋_GB2312"/>
          <w:sz w:val="24"/>
          <w:lang w:val="en-US" w:eastAsia="zh-CN"/>
        </w:rPr>
        <w:t>十九</w:t>
      </w:r>
      <w:r>
        <w:rPr>
          <w:rFonts w:hint="eastAsia" w:ascii="仿宋" w:hAnsi="仿宋" w:eastAsia="仿宋" w:cs="仿宋_GB2312"/>
          <w:sz w:val="24"/>
        </w:rPr>
        <w:t>、本合同一式</w:t>
      </w:r>
      <w:r>
        <w:rPr>
          <w:rFonts w:hint="eastAsia" w:ascii="仿宋" w:hAnsi="仿宋" w:eastAsia="仿宋" w:cs="仿宋_GB2312"/>
          <w:sz w:val="24"/>
          <w:u w:val="single"/>
        </w:rPr>
        <w:t xml:space="preserve">   </w:t>
      </w:r>
      <w:r>
        <w:rPr>
          <w:rFonts w:hint="eastAsia" w:ascii="仿宋" w:hAnsi="仿宋" w:eastAsia="仿宋" w:cs="仿宋_GB2312"/>
          <w:sz w:val="24"/>
        </w:rPr>
        <w:t xml:space="preserve"> 份，甲方、乙方各执</w:t>
      </w:r>
      <w:r>
        <w:rPr>
          <w:rFonts w:hint="eastAsia" w:ascii="仿宋" w:hAnsi="仿宋" w:eastAsia="仿宋" w:cs="仿宋_GB2312"/>
          <w:sz w:val="24"/>
          <w:u w:val="single"/>
        </w:rPr>
        <w:t xml:space="preserve">   </w:t>
      </w:r>
      <w:r>
        <w:rPr>
          <w:rFonts w:hint="eastAsia" w:ascii="仿宋" w:hAnsi="仿宋" w:eastAsia="仿宋" w:cs="仿宋_GB2312"/>
          <w:sz w:val="24"/>
        </w:rPr>
        <w:t>份，</w:t>
      </w:r>
      <w:r>
        <w:rPr>
          <w:rFonts w:hint="eastAsia" w:ascii="仿宋" w:hAnsi="仿宋" w:eastAsia="仿宋" w:cs="仿宋_GB2312"/>
          <w:sz w:val="24"/>
          <w:u w:val="single"/>
        </w:rPr>
        <w:t xml:space="preserve">    </w:t>
      </w:r>
      <w:r>
        <w:rPr>
          <w:rFonts w:hint="eastAsia" w:ascii="仿宋" w:hAnsi="仿宋" w:eastAsia="仿宋" w:cs="仿宋_GB2312"/>
          <w:sz w:val="24"/>
        </w:rPr>
        <w:t>备案</w:t>
      </w:r>
      <w:r>
        <w:rPr>
          <w:rFonts w:hint="eastAsia" w:ascii="仿宋" w:hAnsi="仿宋" w:eastAsia="仿宋" w:cs="仿宋_GB2312"/>
          <w:sz w:val="24"/>
          <w:u w:val="single"/>
        </w:rPr>
        <w:t xml:space="preserve">   </w:t>
      </w:r>
      <w:r>
        <w:rPr>
          <w:rFonts w:hint="eastAsia" w:ascii="仿宋" w:hAnsi="仿宋" w:eastAsia="仿宋" w:cs="仿宋_GB2312"/>
          <w:sz w:val="24"/>
        </w:rPr>
        <w:t>份。双方签字盖章后生效，合同执行完毕自动失效（合同的服务承诺则长期有效）。</w:t>
      </w:r>
    </w:p>
    <w:p w14:paraId="41DEC3F8">
      <w:pPr>
        <w:tabs>
          <w:tab w:val="left" w:pos="980"/>
        </w:tabs>
        <w:kinsoku w:val="0"/>
        <w:spacing w:line="560" w:lineRule="exact"/>
        <w:ind w:firstLine="560"/>
        <w:rPr>
          <w:rFonts w:hint="eastAsia" w:ascii="仿宋" w:hAnsi="仿宋" w:eastAsia="仿宋" w:cs="仿宋_GB2312"/>
          <w:sz w:val="24"/>
        </w:rPr>
      </w:pPr>
      <w:r>
        <w:rPr>
          <w:rFonts w:hint="eastAsia" w:ascii="仿宋" w:hAnsi="仿宋" w:eastAsia="仿宋" w:cs="仿宋_GB2312"/>
          <w:sz w:val="24"/>
        </w:rPr>
        <w:t>二十、其它（在合同中具体明确）</w:t>
      </w:r>
    </w:p>
    <w:p w14:paraId="1A10DC36">
      <w:pPr>
        <w:pStyle w:val="3"/>
        <w:tabs>
          <w:tab w:val="left" w:pos="567"/>
        </w:tabs>
        <w:spacing w:line="560" w:lineRule="exact"/>
        <w:rPr>
          <w:rFonts w:hint="eastAsia" w:ascii="仿宋" w:hAnsi="仿宋" w:eastAsia="仿宋" w:cs="仿宋_GB2312"/>
        </w:rPr>
      </w:pPr>
    </w:p>
    <w:tbl>
      <w:tblPr>
        <w:tblStyle w:val="5"/>
        <w:tblW w:w="9286" w:type="dxa"/>
        <w:jc w:val="center"/>
        <w:tblLayout w:type="fixed"/>
        <w:tblCellMar>
          <w:top w:w="0" w:type="dxa"/>
          <w:left w:w="108" w:type="dxa"/>
          <w:bottom w:w="0" w:type="dxa"/>
          <w:right w:w="108" w:type="dxa"/>
        </w:tblCellMar>
      </w:tblPr>
      <w:tblGrid>
        <w:gridCol w:w="4643"/>
        <w:gridCol w:w="4643"/>
      </w:tblGrid>
      <w:tr w14:paraId="6B919D2C">
        <w:tblPrEx>
          <w:tblCellMar>
            <w:top w:w="0" w:type="dxa"/>
            <w:left w:w="108" w:type="dxa"/>
            <w:bottom w:w="0" w:type="dxa"/>
            <w:right w:w="108" w:type="dxa"/>
          </w:tblCellMar>
        </w:tblPrEx>
        <w:trPr>
          <w:jc w:val="center"/>
        </w:trPr>
        <w:tc>
          <w:tcPr>
            <w:tcW w:w="4643" w:type="dxa"/>
          </w:tcPr>
          <w:p w14:paraId="13DCB24D">
            <w:pPr>
              <w:widowControl/>
              <w:autoSpaceDE w:val="0"/>
              <w:autoSpaceDN w:val="0"/>
              <w:snapToGrid w:val="0"/>
              <w:spacing w:line="560" w:lineRule="exact"/>
              <w:ind w:right="-154"/>
              <w:textAlignment w:val="bottom"/>
              <w:rPr>
                <w:rFonts w:hint="eastAsia" w:ascii="仿宋" w:hAnsi="仿宋" w:eastAsia="仿宋" w:cs="仿宋_GB2312"/>
                <w:kern w:val="0"/>
                <w:sz w:val="24"/>
              </w:rPr>
            </w:pPr>
            <w:r>
              <w:rPr>
                <w:rFonts w:hint="eastAsia" w:ascii="仿宋" w:hAnsi="仿宋" w:eastAsia="仿宋" w:cs="仿宋_GB2312"/>
                <w:kern w:val="0"/>
                <w:sz w:val="24"/>
              </w:rPr>
              <w:t>甲方名称</w:t>
            </w:r>
            <w:r>
              <w:rPr>
                <w:rFonts w:hint="eastAsia" w:ascii="仿宋" w:hAnsi="仿宋" w:eastAsia="仿宋" w:cs="仿宋_GB2312"/>
                <w:spacing w:val="-20"/>
                <w:kern w:val="0"/>
                <w:sz w:val="24"/>
              </w:rPr>
              <w:t>（盖章）</w:t>
            </w:r>
            <w:r>
              <w:rPr>
                <w:rFonts w:hint="eastAsia" w:ascii="仿宋" w:hAnsi="仿宋" w:eastAsia="仿宋" w:cs="仿宋_GB2312"/>
                <w:kern w:val="0"/>
                <w:sz w:val="24"/>
              </w:rPr>
              <w:t>:</w:t>
            </w:r>
          </w:p>
          <w:p w14:paraId="14B0EDAC">
            <w:pPr>
              <w:widowControl/>
              <w:autoSpaceDE w:val="0"/>
              <w:autoSpaceDN w:val="0"/>
              <w:snapToGrid w:val="0"/>
              <w:spacing w:line="560" w:lineRule="exact"/>
              <w:ind w:right="-154"/>
              <w:textAlignment w:val="bottom"/>
              <w:rPr>
                <w:rFonts w:hint="eastAsia" w:ascii="仿宋" w:hAnsi="仿宋" w:eastAsia="仿宋" w:cs="仿宋_GB2312"/>
                <w:kern w:val="0"/>
                <w:sz w:val="24"/>
              </w:rPr>
            </w:pPr>
            <w:r>
              <w:rPr>
                <w:rFonts w:hint="eastAsia" w:ascii="仿宋" w:hAnsi="仿宋" w:eastAsia="仿宋" w:cs="仿宋_GB2312"/>
                <w:kern w:val="0"/>
                <w:sz w:val="24"/>
              </w:rPr>
              <w:t>地址：</w:t>
            </w:r>
          </w:p>
          <w:p w14:paraId="629A8DB7">
            <w:pPr>
              <w:widowControl/>
              <w:autoSpaceDE w:val="0"/>
              <w:autoSpaceDN w:val="0"/>
              <w:snapToGrid w:val="0"/>
              <w:spacing w:line="560" w:lineRule="exact"/>
              <w:ind w:right="-154"/>
              <w:textAlignment w:val="bottom"/>
              <w:rPr>
                <w:rFonts w:hint="eastAsia" w:ascii="仿宋" w:hAnsi="仿宋" w:eastAsia="仿宋" w:cs="仿宋_GB2312"/>
                <w:kern w:val="0"/>
                <w:sz w:val="24"/>
              </w:rPr>
            </w:pPr>
            <w:r>
              <w:rPr>
                <w:rFonts w:hint="eastAsia" w:ascii="仿宋" w:hAnsi="仿宋" w:eastAsia="仿宋" w:cs="仿宋_GB2312"/>
                <w:kern w:val="0"/>
                <w:sz w:val="24"/>
              </w:rPr>
              <w:t>代表人（签字）：</w:t>
            </w:r>
          </w:p>
          <w:p w14:paraId="5E3B8217">
            <w:pPr>
              <w:widowControl/>
              <w:autoSpaceDE w:val="0"/>
              <w:autoSpaceDN w:val="0"/>
              <w:snapToGrid w:val="0"/>
              <w:spacing w:line="560" w:lineRule="exact"/>
              <w:ind w:right="-154"/>
              <w:textAlignment w:val="bottom"/>
              <w:rPr>
                <w:rFonts w:hint="eastAsia" w:ascii="仿宋" w:hAnsi="仿宋" w:eastAsia="仿宋" w:cs="仿宋_GB2312"/>
                <w:kern w:val="0"/>
                <w:sz w:val="24"/>
              </w:rPr>
            </w:pPr>
            <w:r>
              <w:rPr>
                <w:rFonts w:hint="eastAsia" w:ascii="仿宋" w:hAnsi="仿宋" w:eastAsia="仿宋" w:cs="仿宋_GB2312"/>
                <w:kern w:val="0"/>
                <w:sz w:val="24"/>
              </w:rPr>
              <w:t>电话：</w:t>
            </w:r>
          </w:p>
          <w:p w14:paraId="2BFA99AD">
            <w:pPr>
              <w:widowControl/>
              <w:autoSpaceDE w:val="0"/>
              <w:autoSpaceDN w:val="0"/>
              <w:snapToGrid w:val="0"/>
              <w:spacing w:line="560" w:lineRule="exact"/>
              <w:ind w:right="-154"/>
              <w:textAlignment w:val="bottom"/>
              <w:rPr>
                <w:rFonts w:hint="eastAsia" w:ascii="仿宋" w:hAnsi="仿宋" w:eastAsia="仿宋" w:cs="仿宋_GB2312"/>
                <w:kern w:val="0"/>
                <w:sz w:val="24"/>
              </w:rPr>
            </w:pPr>
            <w:r>
              <w:rPr>
                <w:rFonts w:hint="eastAsia" w:ascii="仿宋" w:hAnsi="仿宋" w:eastAsia="仿宋" w:cs="仿宋_GB2312"/>
                <w:kern w:val="0"/>
                <w:sz w:val="24"/>
              </w:rPr>
              <w:t>开户银行：</w:t>
            </w:r>
          </w:p>
          <w:p w14:paraId="47E65C36">
            <w:pPr>
              <w:widowControl/>
              <w:autoSpaceDE w:val="0"/>
              <w:autoSpaceDN w:val="0"/>
              <w:snapToGrid w:val="0"/>
              <w:spacing w:line="560" w:lineRule="exact"/>
              <w:ind w:right="-154"/>
              <w:textAlignment w:val="bottom"/>
              <w:rPr>
                <w:rFonts w:hint="eastAsia" w:ascii="仿宋" w:hAnsi="仿宋" w:eastAsia="仿宋" w:cs="仿宋_GB2312"/>
                <w:kern w:val="0"/>
                <w:sz w:val="24"/>
              </w:rPr>
            </w:pPr>
            <w:r>
              <w:rPr>
                <w:rFonts w:hint="eastAsia" w:ascii="仿宋" w:hAnsi="仿宋" w:eastAsia="仿宋" w:cs="仿宋_GB2312"/>
                <w:kern w:val="0"/>
                <w:sz w:val="24"/>
              </w:rPr>
              <w:t>帐号：</w:t>
            </w:r>
          </w:p>
        </w:tc>
        <w:tc>
          <w:tcPr>
            <w:tcW w:w="4643" w:type="dxa"/>
          </w:tcPr>
          <w:p w14:paraId="6B6C5FB4">
            <w:pPr>
              <w:widowControl/>
              <w:autoSpaceDE w:val="0"/>
              <w:autoSpaceDN w:val="0"/>
              <w:snapToGrid w:val="0"/>
              <w:spacing w:line="560" w:lineRule="exact"/>
              <w:ind w:right="-154"/>
              <w:textAlignment w:val="bottom"/>
              <w:rPr>
                <w:rFonts w:hint="eastAsia" w:ascii="仿宋" w:hAnsi="仿宋" w:eastAsia="仿宋" w:cs="仿宋_GB2312"/>
                <w:kern w:val="0"/>
                <w:sz w:val="24"/>
              </w:rPr>
            </w:pPr>
            <w:r>
              <w:rPr>
                <w:rFonts w:hint="eastAsia" w:ascii="仿宋" w:hAnsi="仿宋" w:eastAsia="仿宋" w:cs="仿宋_GB2312"/>
                <w:kern w:val="0"/>
                <w:sz w:val="24"/>
              </w:rPr>
              <w:t>乙方名称</w:t>
            </w:r>
            <w:r>
              <w:rPr>
                <w:rFonts w:hint="eastAsia" w:ascii="仿宋" w:hAnsi="仿宋" w:eastAsia="仿宋" w:cs="仿宋_GB2312"/>
                <w:spacing w:val="-20"/>
                <w:kern w:val="0"/>
                <w:sz w:val="24"/>
              </w:rPr>
              <w:t>（盖章）</w:t>
            </w:r>
            <w:r>
              <w:rPr>
                <w:rFonts w:hint="eastAsia" w:ascii="仿宋" w:hAnsi="仿宋" w:eastAsia="仿宋" w:cs="仿宋_GB2312"/>
                <w:kern w:val="0"/>
                <w:sz w:val="24"/>
              </w:rPr>
              <w:t>:</w:t>
            </w:r>
          </w:p>
          <w:p w14:paraId="37A05F4C">
            <w:pPr>
              <w:widowControl/>
              <w:autoSpaceDE w:val="0"/>
              <w:autoSpaceDN w:val="0"/>
              <w:snapToGrid w:val="0"/>
              <w:spacing w:line="560" w:lineRule="exact"/>
              <w:ind w:right="-154"/>
              <w:textAlignment w:val="bottom"/>
              <w:rPr>
                <w:rFonts w:hint="eastAsia" w:ascii="仿宋" w:hAnsi="仿宋" w:eastAsia="仿宋" w:cs="仿宋_GB2312"/>
                <w:kern w:val="0"/>
                <w:sz w:val="24"/>
              </w:rPr>
            </w:pPr>
            <w:r>
              <w:rPr>
                <w:rFonts w:hint="eastAsia" w:ascii="仿宋" w:hAnsi="仿宋" w:eastAsia="仿宋" w:cs="仿宋_GB2312"/>
                <w:kern w:val="0"/>
                <w:sz w:val="24"/>
              </w:rPr>
              <w:t>地址：</w:t>
            </w:r>
          </w:p>
          <w:p w14:paraId="1E74B776">
            <w:pPr>
              <w:widowControl/>
              <w:autoSpaceDE w:val="0"/>
              <w:autoSpaceDN w:val="0"/>
              <w:snapToGrid w:val="0"/>
              <w:spacing w:line="560" w:lineRule="exact"/>
              <w:ind w:right="-154"/>
              <w:textAlignment w:val="bottom"/>
              <w:rPr>
                <w:rFonts w:hint="eastAsia" w:ascii="仿宋" w:hAnsi="仿宋" w:eastAsia="仿宋" w:cs="仿宋_GB2312"/>
                <w:kern w:val="0"/>
                <w:sz w:val="24"/>
              </w:rPr>
            </w:pPr>
            <w:r>
              <w:rPr>
                <w:rFonts w:hint="eastAsia" w:ascii="仿宋" w:hAnsi="仿宋" w:eastAsia="仿宋" w:cs="仿宋_GB2312"/>
                <w:kern w:val="0"/>
                <w:sz w:val="24"/>
              </w:rPr>
              <w:t>代表人（签字）：</w:t>
            </w:r>
          </w:p>
          <w:p w14:paraId="7EAEDCF7">
            <w:pPr>
              <w:widowControl/>
              <w:autoSpaceDE w:val="0"/>
              <w:autoSpaceDN w:val="0"/>
              <w:snapToGrid w:val="0"/>
              <w:spacing w:line="560" w:lineRule="exact"/>
              <w:ind w:right="-154"/>
              <w:textAlignment w:val="bottom"/>
              <w:rPr>
                <w:rFonts w:hint="eastAsia" w:ascii="仿宋" w:hAnsi="仿宋" w:eastAsia="仿宋" w:cs="仿宋_GB2312"/>
                <w:kern w:val="0"/>
                <w:sz w:val="24"/>
              </w:rPr>
            </w:pPr>
            <w:r>
              <w:rPr>
                <w:rFonts w:hint="eastAsia" w:ascii="仿宋" w:hAnsi="仿宋" w:eastAsia="仿宋" w:cs="仿宋_GB2312"/>
                <w:kern w:val="0"/>
                <w:sz w:val="24"/>
              </w:rPr>
              <w:t>电话：</w:t>
            </w:r>
          </w:p>
          <w:p w14:paraId="155FEB4A">
            <w:pPr>
              <w:widowControl/>
              <w:autoSpaceDE w:val="0"/>
              <w:autoSpaceDN w:val="0"/>
              <w:snapToGrid w:val="0"/>
              <w:spacing w:line="560" w:lineRule="exact"/>
              <w:ind w:right="-154"/>
              <w:textAlignment w:val="bottom"/>
              <w:rPr>
                <w:rFonts w:hint="eastAsia" w:ascii="仿宋" w:hAnsi="仿宋" w:eastAsia="仿宋" w:cs="仿宋_GB2312"/>
                <w:kern w:val="0"/>
                <w:sz w:val="24"/>
              </w:rPr>
            </w:pPr>
            <w:r>
              <w:rPr>
                <w:rFonts w:hint="eastAsia" w:ascii="仿宋" w:hAnsi="仿宋" w:eastAsia="仿宋" w:cs="仿宋_GB2312"/>
                <w:kern w:val="0"/>
                <w:sz w:val="24"/>
              </w:rPr>
              <w:t>开户银行：</w:t>
            </w:r>
          </w:p>
          <w:p w14:paraId="1BD23D97">
            <w:pPr>
              <w:widowControl/>
              <w:autoSpaceDE w:val="0"/>
              <w:autoSpaceDN w:val="0"/>
              <w:snapToGrid w:val="0"/>
              <w:spacing w:line="560" w:lineRule="exact"/>
              <w:ind w:right="-154"/>
              <w:textAlignment w:val="bottom"/>
              <w:rPr>
                <w:rFonts w:hint="eastAsia" w:ascii="仿宋" w:hAnsi="仿宋" w:eastAsia="仿宋" w:cs="仿宋_GB2312"/>
                <w:kern w:val="0"/>
                <w:sz w:val="24"/>
              </w:rPr>
            </w:pPr>
            <w:r>
              <w:rPr>
                <w:rFonts w:hint="eastAsia" w:ascii="仿宋" w:hAnsi="仿宋" w:eastAsia="仿宋" w:cs="仿宋_GB2312"/>
                <w:kern w:val="0"/>
                <w:sz w:val="24"/>
              </w:rPr>
              <w:t>帐号：</w:t>
            </w:r>
          </w:p>
        </w:tc>
      </w:tr>
    </w:tbl>
    <w:p w14:paraId="1485351B">
      <w:r>
        <w:rPr>
          <w:rFonts w:hint="eastAsia" w:ascii="仿宋" w:hAnsi="仿宋" w:eastAsia="仿宋" w:cs="仿宋_GB2312"/>
          <w:sz w:val="24"/>
          <w:szCs w:val="24"/>
        </w:rPr>
        <w:t>年   月   日                             年   月   日</w:t>
      </w:r>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D131C4"/>
    <w:rsid w:val="09D131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cs="Times New Roman" w:eastAsiaTheme="minorEastAsia"/>
      <w:sz w:val="24"/>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2"/>
    <w:qFormat/>
    <w:uiPriority w:val="0"/>
    <w:pPr>
      <w:spacing w:line="360" w:lineRule="auto"/>
    </w:pPr>
    <w:rPr>
      <w:rFonts w:ascii="仿宋_GB2312" w:eastAsia="仿宋_GB2312"/>
      <w:sz w:val="28"/>
    </w:rPr>
  </w:style>
  <w:style w:type="paragraph" w:styleId="4">
    <w:name w:val="Title"/>
    <w:basedOn w:val="1"/>
    <w:next w:val="1"/>
    <w:qFormat/>
    <w:uiPriority w:val="0"/>
    <w:pPr>
      <w:spacing w:before="240" w:after="60" w:line="440" w:lineRule="exact"/>
      <w:jc w:val="center"/>
      <w:outlineLvl w:val="0"/>
    </w:pPr>
    <w:rPr>
      <w:rFonts w:ascii="Cambria" w:hAnsi="Cambria" w:eastAsia="Arial Unicode MS"/>
      <w:b/>
      <w:bCs/>
      <w:sz w:val="32"/>
      <w:szCs w:val="32"/>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2025-10-09T02:27:00Z</dcterms:created>
  <dc:creator>緣來</dc:creator>
  <cp:lastModifiedBy>緣來</cp:lastModifiedBy>
  <dcterms:modified xsi:type="dcterms:W3CDTF">2025-10-09T02:27:38Z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EF31C332E3004E8BAA342B8D74A27488_11</vt:lpwstr>
  </property>
  <property fmtid="{D5CDD505-2E9C-101B-9397-08002B2CF9AE}" pid="4" name="KSOTemplateDocerSaveRecord">
    <vt:lpwstr>eyJoZGlkIjoiZjE1YjQ4NWY2MWE2Y2ZiNzE4NTU1MjQ3YTY1ZWQwZjAiLCJ1c2VySWQiOiI0MDY2NDY1NjQifQ==</vt:lpwstr>
  </property>
</Properties>
</file>