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版本号：ZCBN-渭南市-2025-01195、SCZB2025-CS-2433-1R20251023001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驻地窗户更新项目(二次)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ZCBN-渭南市-2025-01195、SCZB2025-CS-2433-1R</w:t>
      </w:r>
      <w:r>
        <w:br/>
      </w:r>
      <w:r>
        <w:br/>
      </w:r>
      <w:r>
        <w:br/>
      </w:r>
    </w:p>
    <w:p>
      <w:pPr>
        <w:pStyle w:val="null3"/>
        <w:jc w:val="center"/>
        <w:outlineLvl w:val="2"/>
      </w:pPr>
      <w:r>
        <w:rPr>
          <w:rFonts w:ascii="仿宋_GB2312" w:hAnsi="仿宋_GB2312" w:cs="仿宋_GB2312" w:eastAsia="仿宋_GB2312"/>
          <w:sz w:val="28"/>
          <w:b/>
        </w:rPr>
        <w:t>渭南市人民政府驻北京联络处</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渭南市人民政府驻北京联络处</w:t>
      </w:r>
      <w:r>
        <w:rPr>
          <w:rFonts w:ascii="仿宋_GB2312" w:hAnsi="仿宋_GB2312" w:cs="仿宋_GB2312" w:eastAsia="仿宋_GB2312"/>
        </w:rPr>
        <w:t>委托，拟对</w:t>
      </w:r>
      <w:r>
        <w:rPr>
          <w:rFonts w:ascii="仿宋_GB2312" w:hAnsi="仿宋_GB2312" w:cs="仿宋_GB2312" w:eastAsia="仿宋_GB2312"/>
        </w:rPr>
        <w:t>驻地窗户更新项目(二次)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ZCBN-渭南市-2025-01195、SCZB2025-CS-2433-1R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驻地窗户更新项目(二次)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70型材断桥铝窗户155.8平米，纱窗72个。具体详见竞争性磋商文件。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 网站和中国政府采购网查询记录：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p>
      <w:pPr>
        <w:pStyle w:val="null3"/>
      </w:pPr>
      <w:r>
        <w:rPr>
          <w:rFonts w:ascii="仿宋_GB2312" w:hAnsi="仿宋_GB2312" w:cs="仿宋_GB2312" w:eastAsia="仿宋_GB2312"/>
        </w:rPr>
        <w:t>2、授权委托书：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4、非联合体：参与供应商为非联合体（提供声明函）。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渭南市人民政府驻北京联络处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北京市朝阳区东三环南路17号京瑞大厦B座10层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010-87664437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采购包1：251,155.00元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银行账号：102861559953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代理服务费收费标准：代理服务费参照《国家计委关于印发&lt;招标代理服务收费管理暂行办法&gt;的通知》（计价格[2002]1980号）规定标准按合同包收取。不足6000元按6000元收取。 成交供应商的招标代理服务费交纳信息： 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渭南市人民政府驻北京联络处</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渭南市人民政府驻北京联络处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具体详见竞争性磋商文件及合同。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地址：西安市锦业路都市之门C座9层招标二部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70型材断桥铝窗户155.8平米，纱窗72个。具体详见竞争性磋商文件。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251,155.00</w:t>
      </w:r>
    </w:p>
    <w:p>
      <w:pPr>
        <w:pStyle w:val="null3"/>
      </w:pPr>
      <w:r>
        <w:rPr>
          <w:rFonts w:ascii="仿宋_GB2312" w:hAnsi="仿宋_GB2312" w:cs="仿宋_GB2312" w:eastAsia="仿宋_GB2312"/>
        </w:rPr>
        <w:t>采购包最高限价（元）: 251,155.00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驻地窗户更新项目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251,155.00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标的名称：驻地窗户更新项目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一、基本要求</w:t>
            </w:r>
          </w:p>
          <w:p>
            <w:pPr>
              <w:pStyle w:val="null3"/>
              <w:ind w:firstLine="400"/>
            </w:pPr>
            <w:r>
              <w:rPr>
                <w:rFonts w:ascii="仿宋_GB2312" w:hAnsi="仿宋_GB2312" w:cs="仿宋_GB2312" w:eastAsia="仿宋_GB2312"/>
              </w:rPr>
              <w:t>1、功能要求：断桥铝门窗的功能要求围绕其使用场景和核心价值展开，主要包括以下几方面：</w:t>
            </w:r>
          </w:p>
          <w:p>
            <w:pPr>
              <w:pStyle w:val="null3"/>
              <w:ind w:firstLine="400"/>
            </w:pPr>
            <w:r>
              <w:rPr>
                <w:rFonts w:ascii="仿宋_GB2312" w:hAnsi="仿宋_GB2312" w:cs="仿宋_GB2312" w:eastAsia="仿宋_GB2312"/>
              </w:rPr>
              <w:t>基础使用功能</w:t>
            </w:r>
          </w:p>
          <w:p>
            <w:pPr>
              <w:pStyle w:val="null3"/>
              <w:ind w:firstLine="400"/>
            </w:pPr>
            <w:r>
              <w:rPr>
                <w:rFonts w:ascii="仿宋_GB2312" w:hAnsi="仿宋_GB2312" w:cs="仿宋_GB2312" w:eastAsia="仿宋_GB2312"/>
              </w:rPr>
              <w:t>启闭顺畅：门窗开启和关闭时应灵活无卡顿，平开窗的铰链、执手等五金配件配合精准，推拉窗的轨道滑行平稳，无明显异响或阻滞感，确保日常操作便捷。</w:t>
            </w:r>
          </w:p>
          <w:p>
            <w:pPr>
              <w:pStyle w:val="null3"/>
              <w:ind w:firstLine="400"/>
            </w:pPr>
            <w:r>
              <w:rPr>
                <w:rFonts w:ascii="仿宋_GB2312" w:hAnsi="仿宋_GB2312" w:cs="仿宋_GB2312" w:eastAsia="仿宋_GB2312"/>
              </w:rPr>
              <w:t>锁闭牢固：配备的锁闭系统（如多点锁）能使窗扇、门扇与框体紧密贴合，关闭后无松动，防止风吹导致的晃动或意外开启，保障使用安全。</w:t>
            </w:r>
          </w:p>
          <w:p>
            <w:pPr>
              <w:pStyle w:val="null3"/>
              <w:ind w:firstLine="400"/>
            </w:pPr>
            <w:r>
              <w:rPr>
                <w:rFonts w:ascii="仿宋_GB2312" w:hAnsi="仿宋_GB2312" w:cs="仿宋_GB2312" w:eastAsia="仿宋_GB2312"/>
              </w:rPr>
              <w:t>节能隔热功能</w:t>
            </w:r>
          </w:p>
          <w:p>
            <w:pPr>
              <w:pStyle w:val="null3"/>
              <w:ind w:firstLine="400"/>
            </w:pPr>
            <w:r>
              <w:rPr>
                <w:rFonts w:ascii="仿宋_GB2312" w:hAnsi="仿宋_GB2312" w:cs="仿宋_GB2312" w:eastAsia="仿宋_GB2312"/>
              </w:rPr>
              <w:t>通过断桥结构（PA66尼龙隔热条分隔型材）和中空玻璃的组合，有效阻断室内外热量传递，减少空调、暖气的能耗。具体表现为传热系数（K值）符合相关标准，能在夏季阻挡室外热量进入，冬季保留室内暖气，维持室内舒适温度。</w:t>
            </w:r>
          </w:p>
          <w:p>
            <w:pPr>
              <w:pStyle w:val="null3"/>
              <w:ind w:firstLine="400"/>
            </w:pPr>
            <w:r>
              <w:rPr>
                <w:rFonts w:ascii="仿宋_GB2312" w:hAnsi="仿宋_GB2312" w:cs="仿宋_GB2312" w:eastAsia="仿宋_GB2312"/>
              </w:rPr>
              <w:t>密封防护功能</w:t>
            </w:r>
          </w:p>
          <w:p>
            <w:pPr>
              <w:pStyle w:val="null3"/>
              <w:ind w:firstLine="400"/>
            </w:pPr>
            <w:r>
              <w:rPr>
                <w:rFonts w:ascii="仿宋_GB2312" w:hAnsi="仿宋_GB2312" w:cs="仿宋_GB2312" w:eastAsia="仿宋_GB2312"/>
              </w:rPr>
              <w:t>气密性：关闭状态下能有效阻止空气渗透，减少室外灰尘、花粉等进入室内，同时降低室内外空气交换带来的能量损失。</w:t>
            </w:r>
          </w:p>
          <w:p>
            <w:pPr>
              <w:pStyle w:val="null3"/>
              <w:ind w:firstLine="400"/>
            </w:pPr>
            <w:r>
              <w:rPr>
                <w:rFonts w:ascii="仿宋_GB2312" w:hAnsi="仿宋_GB2312" w:cs="仿宋_GB2312" w:eastAsia="仿宋_GB2312"/>
              </w:rPr>
              <w:t>水密性：在下雨或泼水等情况下，能阻挡雨水渗入室内，避免门窗周边墙面、家具受潮损坏，尤其适用于多雨地区或高层住宅。</w:t>
            </w:r>
          </w:p>
          <w:p>
            <w:pPr>
              <w:pStyle w:val="null3"/>
              <w:ind w:firstLine="400"/>
            </w:pPr>
            <w:r>
              <w:rPr>
                <w:rFonts w:ascii="仿宋_GB2312" w:hAnsi="仿宋_GB2312" w:cs="仿宋_GB2312" w:eastAsia="仿宋_GB2312"/>
              </w:rPr>
              <w:t>防风性：具备一定的抗风压能力，在强风天气下结构稳定，不会因风压过大导致变形、漏风，保障室内环境稳定。</w:t>
            </w:r>
          </w:p>
          <w:p>
            <w:pPr>
              <w:pStyle w:val="null3"/>
              <w:ind w:firstLine="400"/>
            </w:pPr>
            <w:r>
              <w:rPr>
                <w:rFonts w:ascii="仿宋_GB2312" w:hAnsi="仿宋_GB2312" w:cs="仿宋_GB2312" w:eastAsia="仿宋_GB2312"/>
              </w:rPr>
              <w:t>隔音降噪功能</w:t>
            </w:r>
          </w:p>
          <w:p>
            <w:pPr>
              <w:pStyle w:val="null3"/>
              <w:ind w:firstLine="400"/>
            </w:pPr>
            <w:r>
              <w:rPr>
                <w:rFonts w:ascii="仿宋_GB2312" w:hAnsi="仿宋_GB2312" w:cs="仿宋_GB2312" w:eastAsia="仿宋_GB2312"/>
              </w:rPr>
              <w:t>借助型材的断桥设计、中空玻璃（可填充惰性气体）以及良好的密封性能，有效阻隔室外噪声（如交通、施工、人群噪音等）传入室内，提升室内安静度，满足居住、办公等场景对隔音的需求，一般计权隔声量需达到一定标准（如≥30dB）。</w:t>
            </w:r>
          </w:p>
          <w:p>
            <w:pPr>
              <w:pStyle w:val="null3"/>
              <w:ind w:firstLine="400"/>
            </w:pPr>
            <w:r>
              <w:rPr>
                <w:rFonts w:ascii="仿宋_GB2312" w:hAnsi="仿宋_GB2312" w:cs="仿宋_GB2312" w:eastAsia="仿宋_GB2312"/>
              </w:rPr>
              <w:t>安全防护功能</w:t>
            </w:r>
          </w:p>
          <w:p>
            <w:pPr>
              <w:pStyle w:val="null3"/>
              <w:ind w:firstLine="400"/>
            </w:pPr>
            <w:r>
              <w:rPr>
                <w:rFonts w:ascii="仿宋_GB2312" w:hAnsi="仿宋_GB2312" w:cs="仿宋_GB2312" w:eastAsia="仿宋_GB2312"/>
              </w:rPr>
              <w:t>高层安装时，通过合理的开启方式（如内开、内开内倒）或加装防坠装置，防止窗扇意外坠落；</w:t>
            </w:r>
          </w:p>
          <w:p>
            <w:pPr>
              <w:pStyle w:val="null3"/>
              <w:ind w:firstLine="400"/>
            </w:pPr>
            <w:r>
              <w:rPr>
                <w:rFonts w:ascii="仿宋_GB2312" w:hAnsi="仿宋_GB2312" w:cs="仿宋_GB2312" w:eastAsia="仿宋_GB2312"/>
              </w:rPr>
              <w:t>玻璃采用钢化玻璃（带3C认证），破碎后呈钝角小颗粒，减少伤人风险；</w:t>
            </w:r>
          </w:p>
          <w:p>
            <w:pPr>
              <w:pStyle w:val="null3"/>
              <w:ind w:firstLine="400"/>
            </w:pPr>
            <w:r>
              <w:rPr>
                <w:rFonts w:ascii="仿宋_GB2312" w:hAnsi="仿宋_GB2312" w:cs="仿宋_GB2312" w:eastAsia="仿宋_GB2312"/>
              </w:rPr>
              <w:t>可配备儿童安全锁，防止儿童误操作开启门窗导致意外。</w:t>
            </w:r>
          </w:p>
          <w:p>
            <w:pPr>
              <w:pStyle w:val="null3"/>
              <w:ind w:firstLine="400"/>
            </w:pPr>
            <w:r>
              <w:rPr>
                <w:rFonts w:ascii="仿宋_GB2312" w:hAnsi="仿宋_GB2312" w:cs="仿宋_GB2312" w:eastAsia="仿宋_GB2312"/>
              </w:rPr>
              <w:t>耐用耐候功能</w:t>
            </w:r>
          </w:p>
          <w:p>
            <w:pPr>
              <w:pStyle w:val="null3"/>
              <w:ind w:firstLine="400"/>
            </w:pPr>
            <w:r>
              <w:rPr>
                <w:rFonts w:ascii="仿宋_GB2312" w:hAnsi="仿宋_GB2312" w:cs="仿宋_GB2312" w:eastAsia="仿宋_GB2312"/>
              </w:rPr>
              <w:t>型材采用耐腐蚀的铝合金材质，表面经阳极氧化、粉末喷涂等处理，能抵抗风吹、日晒、雨淋，不易褪色、锈蚀，延长使用寿命；</w:t>
            </w:r>
          </w:p>
          <w:p>
            <w:pPr>
              <w:pStyle w:val="null3"/>
              <w:ind w:firstLine="400"/>
            </w:pPr>
            <w:r>
              <w:rPr>
                <w:rFonts w:ascii="仿宋_GB2312" w:hAnsi="仿宋_GB2312" w:cs="仿宋_GB2312" w:eastAsia="仿宋_GB2312"/>
              </w:rPr>
              <w:t>五金配件选用耐磨损、抗腐蚀的材料（如304不锈钢），确保长期使用后仍能保持良好性能，减少维修更换频率。</w:t>
            </w:r>
          </w:p>
          <w:p>
            <w:pPr>
              <w:pStyle w:val="null3"/>
              <w:ind w:firstLine="400"/>
            </w:pPr>
            <w:r>
              <w:rPr>
                <w:rFonts w:ascii="仿宋_GB2312" w:hAnsi="仿宋_GB2312" w:cs="仿宋_GB2312" w:eastAsia="仿宋_GB2312"/>
              </w:rPr>
              <w:t>二、材料要求</w:t>
            </w:r>
          </w:p>
          <w:p>
            <w:pPr>
              <w:pStyle w:val="null3"/>
              <w:ind w:firstLine="400"/>
            </w:pPr>
            <w:r>
              <w:rPr>
                <w:rFonts w:ascii="仿宋_GB2312" w:hAnsi="仿宋_GB2312" w:cs="仿宋_GB2312" w:eastAsia="仿宋_GB2312"/>
              </w:rPr>
              <w:t>型材：根据GB/T 8478-2020《铝合金门窗》，外窗铝型材壁厚不小于1.8mm，外门不小于2.2mm。材质通常为铝合金，如6063-T5，表面处理可采用阳极氧化、粉末喷涂等，色泽应一致，表面应光滑平整无缺陷。</w:t>
            </w:r>
          </w:p>
          <w:p>
            <w:pPr>
              <w:pStyle w:val="null3"/>
              <w:ind w:firstLine="400"/>
            </w:pPr>
            <w:r>
              <w:rPr>
                <w:rFonts w:ascii="仿宋_GB2312" w:hAnsi="仿宋_GB2312" w:cs="仿宋_GB2312" w:eastAsia="仿宋_GB2312"/>
              </w:rPr>
              <w:t>玻璃：固定玻璃用单片玻璃不应小于6毫米厚；双玻夹层中空玻璃的钢化玻璃间隔膜总厚度不应少于4毫米。单片玻璃大于1.5平方米的配置应采用钢化玻璃。</w:t>
            </w:r>
          </w:p>
          <w:p>
            <w:pPr>
              <w:pStyle w:val="null3"/>
              <w:ind w:firstLine="400"/>
            </w:pPr>
            <w:r>
              <w:rPr>
                <w:rFonts w:ascii="仿宋_GB2312" w:hAnsi="仿宋_GB2312" w:cs="仿宋_GB2312" w:eastAsia="仿宋_GB2312"/>
              </w:rPr>
              <w:t>密封材料与五金配件：密封材料需密封性好、耐老化性强。五金配件要求材料坚固、使用寿命长。</w:t>
            </w:r>
          </w:p>
          <w:p>
            <w:pPr>
              <w:pStyle w:val="null3"/>
              <w:ind w:firstLine="400"/>
            </w:pPr>
            <w:r>
              <w:rPr>
                <w:rFonts w:ascii="仿宋_GB2312" w:hAnsi="仿宋_GB2312" w:cs="仿宋_GB2312" w:eastAsia="仿宋_GB2312"/>
              </w:rPr>
              <w:t>三、性能要求</w:t>
            </w:r>
          </w:p>
          <w:p>
            <w:pPr>
              <w:pStyle w:val="null3"/>
              <w:ind w:firstLine="400"/>
            </w:pPr>
            <w:r>
              <w:rPr>
                <w:rFonts w:ascii="仿宋_GB2312" w:hAnsi="仿宋_GB2312" w:cs="仿宋_GB2312" w:eastAsia="仿宋_GB2312"/>
              </w:rPr>
              <w:t>气密性：外窗气密性等级需符合GB/T 7106《建筑外窗气密、水密、抗风压性能分级及其检测方法》中的相关要求，通常要求达到7级。</w:t>
            </w:r>
          </w:p>
          <w:p>
            <w:pPr>
              <w:pStyle w:val="null3"/>
              <w:ind w:firstLine="400"/>
            </w:pPr>
            <w:r>
              <w:rPr>
                <w:rFonts w:ascii="仿宋_GB2312" w:hAnsi="仿宋_GB2312" w:cs="仿宋_GB2312" w:eastAsia="仿宋_GB2312"/>
              </w:rPr>
              <w:t>水密性：水密性能分级需大于3级。</w:t>
            </w:r>
          </w:p>
          <w:p>
            <w:pPr>
              <w:pStyle w:val="null3"/>
              <w:ind w:firstLine="400"/>
            </w:pPr>
            <w:r>
              <w:rPr>
                <w:rFonts w:ascii="仿宋_GB2312" w:hAnsi="仿宋_GB2312" w:cs="仿宋_GB2312" w:eastAsia="仿宋_GB2312"/>
              </w:rPr>
              <w:t>抗风压性：抗风压性能分级要求&gt;4.0。</w:t>
            </w:r>
          </w:p>
          <w:p>
            <w:pPr>
              <w:pStyle w:val="null3"/>
              <w:ind w:firstLine="400"/>
            </w:pPr>
            <w:r>
              <w:rPr>
                <w:rFonts w:ascii="仿宋_GB2312" w:hAnsi="仿宋_GB2312" w:cs="仿宋_GB2312" w:eastAsia="仿宋_GB2312"/>
              </w:rPr>
              <w:t>四、安装与检验要求</w:t>
            </w:r>
          </w:p>
          <w:p>
            <w:pPr>
              <w:pStyle w:val="null3"/>
              <w:ind w:firstLine="400"/>
            </w:pPr>
            <w:r>
              <w:rPr>
                <w:rFonts w:ascii="仿宋_GB2312" w:hAnsi="仿宋_GB2312" w:cs="仿宋_GB2312" w:eastAsia="仿宋_GB2312"/>
              </w:rPr>
              <w:t>安装：应使用专业安装团队，确保窗框与墙体之间的缝隙处理得当，螺丝固定牢固。</w:t>
            </w:r>
          </w:p>
          <w:p>
            <w:pPr>
              <w:pStyle w:val="null3"/>
              <w:ind w:firstLine="400"/>
            </w:pPr>
            <w:r>
              <w:rPr>
                <w:rFonts w:ascii="仿宋_GB2312" w:hAnsi="仿宋_GB2312" w:cs="仿宋_GB2312" w:eastAsia="仿宋_GB2312"/>
              </w:rPr>
              <w:t>五、其他要求</w:t>
            </w:r>
          </w:p>
          <w:p>
            <w:pPr>
              <w:pStyle w:val="null3"/>
              <w:ind w:firstLine="400"/>
            </w:pPr>
            <w:r>
              <w:rPr>
                <w:rFonts w:ascii="仿宋_GB2312" w:hAnsi="仿宋_GB2312" w:cs="仿宋_GB2312" w:eastAsia="仿宋_GB2312"/>
              </w:rPr>
              <w:t>产品外观：表面不应有铝屑、毛刺、油污；密封胶缝隙应连续、平滑，连接处不应有外溢的胶粘剂，密封条应安装到位，不应有脱开现象。</w:t>
            </w:r>
          </w:p>
          <w:p>
            <w:pPr>
              <w:pStyle w:val="null3"/>
              <w:ind w:firstLine="400"/>
            </w:pPr>
            <w:r>
              <w:rPr>
                <w:rFonts w:ascii="仿宋_GB2312" w:hAnsi="仿宋_GB2312" w:cs="仿宋_GB2312" w:eastAsia="仿宋_GB2312"/>
              </w:rPr>
              <w:t>尺寸与形状：门窗尺寸及形状允许偏差和框扇组装尺寸偏差应符合相关标准规定。</w:t>
            </w:r>
          </w:p>
          <w:p>
            <w:pPr>
              <w:pStyle w:val="null3"/>
              <w:ind w:firstLine="400"/>
            </w:pPr>
            <w:r>
              <w:rPr>
                <w:rFonts w:ascii="仿宋_GB2312" w:hAnsi="仿宋_GB2312" w:cs="仿宋_GB2312" w:eastAsia="仿宋_GB2312"/>
              </w:rPr>
              <w:t>六、采购标的数量和规格</w:t>
            </w:r>
          </w:p>
          <w:p>
            <w:pPr>
              <w:pStyle w:val="null3"/>
              <w:ind w:firstLine="400"/>
            </w:pPr>
            <w:r>
              <w:rPr>
                <w:rFonts w:ascii="仿宋_GB2312" w:hAnsi="仿宋_GB2312" w:cs="仿宋_GB2312" w:eastAsia="仿宋_GB2312"/>
              </w:rPr>
              <w:t>70型材断桥铝窗户155.8平米，纱窗72个。</w:t>
            </w:r>
          </w:p>
          <w:p>
            <w:pPr>
              <w:pStyle w:val="null3"/>
              <w:ind w:firstLine="400"/>
            </w:pPr>
            <w:r>
              <w:rPr>
                <w:rFonts w:ascii="仿宋_GB2312" w:hAnsi="仿宋_GB2312" w:cs="仿宋_GB2312" w:eastAsia="仿宋_GB2312"/>
              </w:rPr>
              <w:t>七、质量、安全、技术规格、物理特性等要求</w:t>
            </w:r>
          </w:p>
          <w:p>
            <w:pPr>
              <w:pStyle w:val="null3"/>
              <w:ind w:firstLine="400"/>
            </w:pPr>
            <w:r>
              <w:rPr>
                <w:rFonts w:ascii="仿宋_GB2312" w:hAnsi="仿宋_GB2312" w:cs="仿宋_GB2312" w:eastAsia="仿宋_GB2312"/>
              </w:rPr>
              <w:t>质量要求</w:t>
            </w:r>
          </w:p>
          <w:p>
            <w:pPr>
              <w:pStyle w:val="null3"/>
              <w:ind w:firstLine="400"/>
            </w:pPr>
            <w:r>
              <w:rPr>
                <w:rFonts w:ascii="仿宋_GB2312" w:hAnsi="仿宋_GB2312" w:cs="仿宋_GB2312" w:eastAsia="仿宋_GB2312"/>
              </w:rPr>
              <w:t>1.型材质量：应选用原生铝材质，常见合金牌号如6063 - T5，保证材质纯净、杂质少，具备良好的强度与耐腐蚀性。依据GB/T 8478-2020《铝合金门窗》，外窗主型材基材壁厚公称尺寸不应小于1.8mm ，外门主型材基材壁厚公称尺寸不应小于2.2mm，确保在不同建筑环境下有足够的承载能力和抗变形能力。表面处理可采用阳极氧化，膜厚达到AA15级（≥15μm ），或粉末喷涂（≥40μm），处理后的型材色泽均匀、光滑平整，无气泡、流痕、砂眼等缺陷，增强耐候性。</w:t>
            </w:r>
          </w:p>
          <w:p>
            <w:pPr>
              <w:pStyle w:val="null3"/>
              <w:ind w:firstLine="400"/>
            </w:pPr>
            <w:r>
              <w:rPr>
                <w:rFonts w:ascii="仿宋_GB2312" w:hAnsi="仿宋_GB2312" w:cs="仿宋_GB2312" w:eastAsia="仿宋_GB2312"/>
              </w:rPr>
              <w:t>2.玻璃质量：需使用带有3C认证标志的钢化玻璃，保证安全性。单片玻璃厚度通常不小于5mm；对于大面积玻璃（如大于1.5平方米），应根据具体使用场景适当增加厚度或采用夹胶玻璃 。间隔条使用优质铝合金材质，内部填充分子筛，密封材料选用优质丁基胶及聚硫胶，确保良好的隔热、隔音性能及密封耐久性，避免出现结露、进水等问题。</w:t>
            </w:r>
          </w:p>
          <w:p>
            <w:pPr>
              <w:pStyle w:val="null3"/>
              <w:ind w:firstLine="400"/>
            </w:pPr>
            <w:r>
              <w:rPr>
                <w:rFonts w:ascii="仿宋_GB2312" w:hAnsi="仿宋_GB2312" w:cs="仿宋_GB2312" w:eastAsia="仿宋_GB2312"/>
              </w:rPr>
              <w:t>3.五金配件质量：应选用知名品牌产品，保证操作顺畅且耐用；铰链承重能力≥50kg ，满足窗扇频繁开启需求；多点锁闭系统的锁点同步误差≤0.5mm，确保关闭时紧密牢固。材质上优先选择304不锈钢或铝合金，表面进行电泳涂层或镀镍处理，增强抗腐蚀能力，避免生锈影响使用。</w:t>
            </w:r>
          </w:p>
          <w:p>
            <w:pPr>
              <w:pStyle w:val="null3"/>
              <w:ind w:firstLine="400"/>
            </w:pPr>
            <w:r>
              <w:rPr>
                <w:rFonts w:ascii="仿宋_GB2312" w:hAnsi="仿宋_GB2312" w:cs="仿宋_GB2312" w:eastAsia="仿宋_GB2312"/>
              </w:rPr>
              <w:t>4.密封材料质量：密封胶条采用三元乙丙橡胶（EPDM）材质，其弹性系数高，保证长期有效的密封性能。</w:t>
            </w:r>
          </w:p>
          <w:p>
            <w:pPr>
              <w:pStyle w:val="null3"/>
              <w:ind w:firstLine="400"/>
            </w:pPr>
            <w:r>
              <w:rPr>
                <w:rFonts w:ascii="仿宋_GB2312" w:hAnsi="仿宋_GB2312" w:cs="仿宋_GB2312" w:eastAsia="仿宋_GB2312"/>
              </w:rPr>
              <w:t>八、服务标准、期限、效率等要求</w:t>
            </w:r>
          </w:p>
          <w:p>
            <w:pPr>
              <w:pStyle w:val="null3"/>
              <w:ind w:firstLine="400"/>
            </w:pPr>
            <w:r>
              <w:rPr>
                <w:rFonts w:ascii="仿宋_GB2312" w:hAnsi="仿宋_GB2312" w:cs="仿宋_GB2312" w:eastAsia="仿宋_GB2312"/>
              </w:rPr>
              <w:t>1、供应商需要提供合理的项目整体实施方案，能按照项目分解节点并可跟踪实施。</w:t>
            </w:r>
          </w:p>
          <w:p>
            <w:pPr>
              <w:pStyle w:val="null3"/>
              <w:ind w:firstLine="400"/>
            </w:pPr>
            <w:r>
              <w:rPr>
                <w:rFonts w:ascii="仿宋_GB2312" w:hAnsi="仿宋_GB2312" w:cs="仿宋_GB2312" w:eastAsia="仿宋_GB2312"/>
              </w:rPr>
              <w:t>2、供应商需要提供生产实施方案，包括原材料采购、加工制作等各个环节的实施方案，在规定的时间内有计划的完成项目需求产品的生产和装配。</w:t>
            </w:r>
          </w:p>
          <w:p>
            <w:pPr>
              <w:pStyle w:val="null3"/>
              <w:ind w:firstLine="400"/>
            </w:pPr>
            <w:r>
              <w:rPr>
                <w:rFonts w:ascii="仿宋_GB2312" w:hAnsi="仿宋_GB2312" w:cs="仿宋_GB2312" w:eastAsia="仿宋_GB2312"/>
              </w:rPr>
              <w:t>3、供应商需要提供品控管理方案，对产品品质有管理管控过程，有独立品管部门和专门品管人员，确保产品生产过程中的质量控制完善。</w:t>
            </w:r>
          </w:p>
          <w:p>
            <w:pPr>
              <w:pStyle w:val="null3"/>
              <w:ind w:firstLine="400"/>
            </w:pPr>
            <w:r>
              <w:rPr>
                <w:rFonts w:ascii="仿宋_GB2312" w:hAnsi="仿宋_GB2312" w:cs="仿宋_GB2312" w:eastAsia="仿宋_GB2312"/>
              </w:rPr>
              <w:t>4、供应商需要提供安装服务实施方案，根据货物交付时间节点，落实送货安装时间和人员安排，确保按期交付使用。</w:t>
            </w:r>
          </w:p>
          <w:p>
            <w:pPr>
              <w:pStyle w:val="null3"/>
              <w:ind w:firstLine="400"/>
            </w:pPr>
            <w:r>
              <w:rPr>
                <w:rFonts w:ascii="仿宋_GB2312" w:hAnsi="仿宋_GB2312" w:cs="仿宋_GB2312" w:eastAsia="仿宋_GB2312"/>
              </w:rPr>
              <w:t>5、售后服务要求：具有完善的售后服务队伍，具备专业人员和服务设施，及时响应最终用户的服务要求。所有供应商应承诺对其所供应产品给予用户 2 年免费保修期。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合同签订生效后30天内需要交货完毕、安装调试完成。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北京市朝阳区东三环南路17号京瑞大厦B座10层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 4.符合竞争性磋商文件和供应商响应文件所要求以及国家相关技术标准，并在项目完成后，由采购人组成验收小组进行验收（必要时聘请相应专家或委托相应部门验收），经过验收小组检查后一致认为已达到要求视为验收合格。 具体详见合同。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包装：包装必须适应货物特性和交通运输要求，以及国家有关标准或企业标准或合同要求。供应商应承担于包装、防护措施不妥引起的所有损失的责任和费用。 运输：供应商可根据交货期、运输条件自行选择运输方式（另有规定的除外），承担一切运输费用。 具体详见合同。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1.质保期：自验收合格后两年。 2.供应商应当保证所供货物的来源渠道正常，产品是全新的、未使用过的、且完全符合合同规定的质量、规格、技术指标等要求，并在质保期内、外应对由于产品设计、工艺或材料的缺陷而产生的质量问题负责。 3.在质保期内，如果发现货物的质量、规格、技术指标等存在与合同中任何一项不符，采购单位应在最短时间内，以书面形式向供应商提出索赔，同时通告采购代理机构。 4.供应商在接到采购人报修电话后，在2小时内响应，24小时内派出合格的维修人员到达现场进行维修服务，若需将产品返厂维修，供应商应提供备用机、承担维修产品所需的往返费用。 具体详见合同。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1.合同争议的解决：合同执行中发生争议的，当事人双方应协商解决，协商达不成一致时，可向人民法院提请诉讼。 2.违约责任：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 具体详见合同。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服务标准、期限、效率等要求： 1、供应商需要提供合理的项目整体实施方案，能按照项目分解节点并可跟踪实施。 2、供应商需要提供生产实施方案，包括原材料采购、加工制作等各个环节的实施方案，在规定的时间内有计划的完成项目需求产品的生产和装配。 3、供应商需要提供品控管理方案，对产品品质有管理管控过程，有独立品管部门和专门品管人员，确保产品生产过程中的质量控制完善。 4、供应商需要提供安装服务实施方案，根据货物交付时间节点，落实送货安装时间和人员安排，确保按期交付使用。 5、售后服务要求：具有完善的售后服务队伍，具备专业人员和服务设施，及时响应最终用户的服务要求。所有供应商应承诺对其所供应产品给予用户 2 年免费保修期。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供应商需在项目电子化交易系统中按要求填写《响应函》完成承诺并在资格证明文件响应，同时进行电子签章。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（1）提供递交响应文件截止之日前两年内任意一个年度经审计的财务报告，应满足以下要求：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资信证明须为递交响应文件截止时间前三个月内由供应商基本账户开户银行出具（须提供基本开户行许可证）。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供应商需在项目电子化交易系统中按要求填写《响应函》完成承诺并在资格证明文件响应，同时进行电子签章。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 网站和中国政府采购网查询记录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产品技术参数表.docx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响应文件按照磋商文件要求签字、盖章。</w:t>
            </w:r>
          </w:p>
        </w:tc>
        <w:tc>
          <w:tcPr>
            <w:tcW w:type="dxa" w:w="1661"/>
          </w:tcPr>
          <w:p>
            <w:pPr>
              <w:pStyle w:val="null3"/>
            </w:pPr>
            <w:r>
              <w:rPr>
                <w:rFonts w:ascii="仿宋_GB2312" w:hAnsi="仿宋_GB2312" w:cs="仿宋_GB2312" w:eastAsia="仿宋_GB2312"/>
              </w:rPr>
              <w:t>供应商类似项目业绩一览表.docx 中小企业声明函 商务应答表 报价表 保证金支付凭证或担保函（复印件）.docx 节能产品、环境标志产品明细表.docx 响应文件封面 残疾人福利性单位声明函 标的清单 资格证明材料.docx 实施方案.docx 产品技术参数表.docx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标的清单 报价表 产品技术参数表.docx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响应文件的有效期、交货期、交货地点、质保期、付款方式、合同条款等商务内容</w:t>
            </w:r>
          </w:p>
        </w:tc>
        <w:tc>
          <w:tcPr>
            <w:tcW w:type="dxa" w:w="3322"/>
          </w:tcPr>
          <w:p>
            <w:pPr>
              <w:pStyle w:val="null3"/>
            </w:pPr>
            <w:r>
              <w:rPr>
                <w:rFonts w:ascii="仿宋_GB2312" w:hAnsi="仿宋_GB2312" w:cs="仿宋_GB2312" w:eastAsia="仿宋_GB2312"/>
              </w:rPr>
              <w:t>响应文件的有效期、交货期、交货地点、付款方式、质保期、合同条款等商务内容满足磋商文件要求。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保证金提交满足磋商文件要求。</w:t>
            </w:r>
          </w:p>
        </w:tc>
        <w:tc>
          <w:tcPr>
            <w:tcW w:type="dxa" w:w="1661"/>
          </w:tcPr>
          <w:p>
            <w:pPr>
              <w:pStyle w:val="null3"/>
            </w:pPr>
            <w:r>
              <w:rPr>
                <w:rFonts w:ascii="仿宋_GB2312" w:hAnsi="仿宋_GB2312" w:cs="仿宋_GB2312" w:eastAsia="仿宋_GB2312"/>
              </w:rPr>
              <w:t>保证金支付凭证或担保函（复印件）.docx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磋商内容未出现漏项，数量与要求相符，未出现重大负偏差</w:t>
            </w:r>
          </w:p>
        </w:tc>
        <w:tc>
          <w:tcPr>
            <w:tcW w:type="dxa" w:w="1661"/>
          </w:tcPr>
          <w:p>
            <w:pPr>
              <w:pStyle w:val="null3"/>
            </w:pPr>
            <w:r>
              <w:rPr>
                <w:rFonts w:ascii="仿宋_GB2312" w:hAnsi="仿宋_GB2312" w:cs="仿宋_GB2312" w:eastAsia="仿宋_GB2312"/>
              </w:rPr>
              <w:t>商务应答表 标的清单 报价表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供应商类似项目业绩一览表.docx 中小企业声明函 商务应答表 报价表 保证金支付凭证或担保函（复印件）.docx 节能产品、环境标志产品明细表.docx 响应文件封面 残疾人福利性单位声明函 标的清单 资格证明材料.docx 实施方案.docx 产品技术参数表.docx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1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供应商或制造商具有所投产品的类似合同业绩（2022年1月至今，以合同签订时间为准并提供完整的合同复印件加盖公章），每提供一份得2分，满分8分。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参数每有一项负偏离的扣1分，扣完为止。参数全部满足得20分。 须提供证明材料，包括但不限于：制造商出具的产品规格表、产品宣传彩页、技术白皮书、制造商官方网站发布的产品信息、说明书、软件测试报告、产品检测合格证、3C认证等相关证明材料。参数未提供有效证明文件的其参数评审按负偏离计。参数的技术支持资料需在产品技术参数表中标注页码。</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在所投产品二年质保期的基础上每延长一年质保计0.5分，最高计1分。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采购内容及要求制定实施方案。包括但不限于①项目实施计划；②配送方案；③安装调试方案；④人员配备方案（包括但不限于项目负责人、安装调试人员、配送人员、售后服务人员等，提供人员身份证、联系方式、工作职务等）；⑤安全措施及应急预案；⑥产品供货渠道（包括但不限于原厂授权、销售协议、代理协议等资料）；⑦质量保证措施；⑧售后服务保障内容；⑨管理和协调方案；⑩验收方案。上述每项内容无缺陷得3分，满分为30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人员能力</w:t>
            </w:r>
          </w:p>
        </w:tc>
        <w:tc>
          <w:tcPr>
            <w:tcW w:type="dxa" w:w="2492"/>
          </w:tcPr>
          <w:p>
            <w:pPr>
              <w:pStyle w:val="null3"/>
            </w:pPr>
            <w:r>
              <w:rPr>
                <w:rFonts w:ascii="仿宋_GB2312" w:hAnsi="仿宋_GB2312" w:cs="仿宋_GB2312" w:eastAsia="仿宋_GB2312"/>
              </w:rPr>
              <w:t>供应商针对本项目拟派的安装调试人员每具备一个合格有效的特种作业操作证（高处作业）得1分，满分3分。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供应商或所投产品的制造商具备合格有效的ISO9001质量管理体系认证得1分，满分1分。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作业工具</w:t>
            </w:r>
          </w:p>
        </w:tc>
        <w:tc>
          <w:tcPr>
            <w:tcW w:type="dxa" w:w="2492"/>
          </w:tcPr>
          <w:p>
            <w:pPr>
              <w:pStyle w:val="null3"/>
            </w:pPr>
            <w:r>
              <w:rPr>
                <w:rFonts w:ascii="仿宋_GB2312" w:hAnsi="仿宋_GB2312" w:cs="仿宋_GB2312" w:eastAsia="仿宋_GB2312"/>
              </w:rPr>
              <w:t>供应商针对本项目配备专业的作业工具。作业工具齐全、先进，安全性高得4分；作业工具较齐全，基本满足实施要求得3分；作业工具简陋，配备少得2分。未提供不得分。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供应商针对本项目的日常工作及对接提供合理有效的建议。建议可实施性强，有针对性得2分；建议可实施性差得1分；未提供不得分。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满足磋商文件要求且最终磋商报价最低的为基准价，其价格分为满分。其他磋商供应商的价格分统一按照下列公式计算：最终磋商报价得分=（基准价/最终磋商报价）×30 注：本项目为非专门面向中小企业的项目，所投产品的制造商均为小微企业或监狱企业或残疾人福利性单位时可享受价格扣除。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当所投产品的制造商均为小微企业或监狱企业或残疾人福利性单位时可享受价格扣除15%，供应商须如实填写《中小企业声明函》或《残疾人福利性单位声明函》或《监狱企业的证明文件》。</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详见附件：保证金支付凭证或担保函（复印件）.docx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