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49F0A">
      <w:pPr>
        <w:pStyle w:val="7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61DC8C37">
      <w:pPr>
        <w:pStyle w:val="7"/>
        <w:jc w:val="both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675E6B15">
      <w:pPr>
        <w:pStyle w:val="7"/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</w:p>
    <w:p w14:paraId="74623F9F">
      <w:pPr>
        <w:pStyle w:val="7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渭南市“十五五”教育事业发展、中小幼布局调整及中心城区教育设施布局专项规划编制项目</w:t>
      </w:r>
    </w:p>
    <w:p w14:paraId="7E5E3130">
      <w:pPr>
        <w:pStyle w:val="7"/>
        <w:rPr>
          <w:rFonts w:hint="eastAsia" w:ascii="宋体" w:hAnsi="宋体" w:eastAsia="宋体" w:cs="宋体"/>
        </w:rPr>
      </w:pPr>
    </w:p>
    <w:p w14:paraId="03D893D1">
      <w:pPr>
        <w:pStyle w:val="7"/>
        <w:rPr>
          <w:rFonts w:hint="eastAsia" w:ascii="宋体" w:hAnsi="宋体" w:eastAsia="宋体" w:cs="宋体"/>
        </w:rPr>
      </w:pPr>
    </w:p>
    <w:p w14:paraId="43C8CD3C">
      <w:pPr>
        <w:pStyle w:val="7"/>
        <w:rPr>
          <w:rFonts w:hint="eastAsia" w:ascii="宋体" w:hAnsi="宋体" w:eastAsia="宋体" w:cs="宋体"/>
        </w:rPr>
      </w:pPr>
    </w:p>
    <w:p w14:paraId="1ADDADCD">
      <w:pPr>
        <w:spacing w:line="360" w:lineRule="auto"/>
        <w:jc w:val="center"/>
        <w:rPr>
          <w:rFonts w:hint="eastAsia" w:ascii="宋体" w:hAnsi="宋体" w:eastAsia="宋体" w:cs="宋体"/>
          <w:b/>
          <w:bCs/>
          <w:spacing w:val="12"/>
          <w:sz w:val="52"/>
          <w:szCs w:val="52"/>
        </w:rPr>
      </w:pPr>
      <w:r>
        <w:rPr>
          <w:rFonts w:hint="eastAsia" w:ascii="宋体" w:hAnsi="宋体" w:eastAsia="宋体" w:cs="宋体"/>
          <w:b/>
          <w:bCs/>
          <w:spacing w:val="12"/>
          <w:sz w:val="52"/>
          <w:szCs w:val="52"/>
        </w:rPr>
        <w:t>政府采购合同书</w:t>
      </w:r>
    </w:p>
    <w:p w14:paraId="3D49F01D">
      <w:pPr>
        <w:spacing w:line="360" w:lineRule="auto"/>
        <w:jc w:val="center"/>
        <w:rPr>
          <w:rFonts w:hint="eastAsia" w:ascii="宋体" w:hAnsi="宋体" w:eastAsia="宋体" w:cs="宋体"/>
          <w:spacing w:val="12"/>
          <w:sz w:val="32"/>
          <w:szCs w:val="32"/>
        </w:rPr>
      </w:pPr>
      <w:r>
        <w:rPr>
          <w:rFonts w:hint="eastAsia" w:ascii="宋体" w:hAnsi="宋体" w:eastAsia="宋体" w:cs="宋体"/>
          <w:spacing w:val="12"/>
          <w:sz w:val="32"/>
          <w:szCs w:val="32"/>
        </w:rPr>
        <w:t xml:space="preserve">                   </w:t>
      </w:r>
    </w:p>
    <w:p w14:paraId="30D72955">
      <w:pPr>
        <w:pStyle w:val="7"/>
        <w:rPr>
          <w:rFonts w:hint="eastAsia" w:ascii="宋体" w:hAnsi="宋体" w:eastAsia="宋体" w:cs="宋体"/>
          <w:spacing w:val="12"/>
        </w:rPr>
      </w:pPr>
    </w:p>
    <w:p w14:paraId="004EAC41">
      <w:pPr>
        <w:pStyle w:val="7"/>
        <w:rPr>
          <w:rFonts w:hint="eastAsia" w:ascii="宋体" w:hAnsi="宋体" w:eastAsia="宋体" w:cs="宋体"/>
          <w:spacing w:val="12"/>
        </w:rPr>
      </w:pPr>
    </w:p>
    <w:p w14:paraId="369E3E4F">
      <w:pPr>
        <w:pStyle w:val="12"/>
        <w:ind w:firstLine="0"/>
        <w:rPr>
          <w:rFonts w:hint="eastAsia" w:ascii="宋体" w:hAnsi="宋体" w:eastAsia="宋体" w:cs="宋体"/>
          <w:spacing w:val="12"/>
          <w:sz w:val="32"/>
          <w:szCs w:val="32"/>
        </w:rPr>
      </w:pPr>
    </w:p>
    <w:p w14:paraId="4389C64F">
      <w:pPr>
        <w:rPr>
          <w:rFonts w:hint="eastAsia" w:ascii="宋体" w:hAnsi="宋体" w:eastAsia="宋体" w:cs="宋体"/>
        </w:rPr>
      </w:pPr>
    </w:p>
    <w:p w14:paraId="2E01FF5C">
      <w:pPr>
        <w:pStyle w:val="7"/>
        <w:ind w:left="0" w:leftChars="0" w:firstLine="0" w:firstLineChars="0"/>
        <w:rPr>
          <w:rFonts w:hint="eastAsia" w:ascii="宋体" w:hAnsi="宋体" w:eastAsia="宋体" w:cs="宋体"/>
        </w:rPr>
      </w:pPr>
    </w:p>
    <w:p w14:paraId="6EC0AED9">
      <w:pPr>
        <w:pStyle w:val="7"/>
        <w:ind w:left="0" w:leftChars="0" w:firstLine="0" w:firstLineChars="0"/>
        <w:rPr>
          <w:rFonts w:hint="eastAsia" w:ascii="宋体" w:hAnsi="宋体" w:eastAsia="宋体" w:cs="宋体"/>
        </w:rPr>
      </w:pPr>
    </w:p>
    <w:p w14:paraId="0524F9F5">
      <w:pPr>
        <w:pStyle w:val="7"/>
        <w:ind w:left="0" w:leftChars="0" w:firstLine="0" w:firstLineChars="0"/>
        <w:rPr>
          <w:rFonts w:hint="eastAsia" w:ascii="宋体" w:hAnsi="宋体" w:eastAsia="宋体" w:cs="宋体"/>
        </w:rPr>
      </w:pPr>
    </w:p>
    <w:p w14:paraId="062A7F07">
      <w:pPr>
        <w:rPr>
          <w:rFonts w:hint="eastAsia" w:ascii="宋体" w:hAnsi="宋体" w:eastAsia="宋体" w:cs="宋体"/>
        </w:rPr>
      </w:pPr>
    </w:p>
    <w:p w14:paraId="5C180E3E">
      <w:pPr>
        <w:pStyle w:val="17"/>
        <w:ind w:left="0" w:leftChars="0" w:firstLine="0" w:firstLineChars="0"/>
        <w:rPr>
          <w:rFonts w:hint="eastAsia" w:ascii="宋体" w:hAnsi="宋体" w:eastAsia="宋体" w:cs="宋体"/>
        </w:rPr>
      </w:pPr>
    </w:p>
    <w:p w14:paraId="166C5AC0">
      <w:pPr>
        <w:spacing w:line="360" w:lineRule="auto"/>
        <w:ind w:firstLine="1726" w:firstLineChars="500"/>
        <w:jc w:val="left"/>
        <w:rPr>
          <w:rFonts w:hint="eastAsia" w:ascii="宋体" w:hAnsi="宋体" w:eastAsia="宋体" w:cs="宋体"/>
          <w:b/>
          <w:bCs/>
          <w:spacing w:val="12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pacing w:val="12"/>
          <w:sz w:val="32"/>
          <w:szCs w:val="32"/>
        </w:rPr>
        <w:t>采购人：</w:t>
      </w:r>
      <w:r>
        <w:rPr>
          <w:rFonts w:hint="eastAsia" w:ascii="宋体" w:hAnsi="宋体" w:cs="宋体"/>
          <w:b/>
          <w:bCs/>
          <w:spacing w:val="12"/>
          <w:sz w:val="32"/>
          <w:szCs w:val="32"/>
          <w:lang w:eastAsia="zh-CN"/>
        </w:rPr>
        <w:t>渭南市教育局</w:t>
      </w:r>
      <w:r>
        <w:rPr>
          <w:rFonts w:hint="eastAsia" w:ascii="宋体" w:hAnsi="宋体" w:cs="宋体"/>
          <w:b/>
          <w:bCs/>
          <w:spacing w:val="12"/>
          <w:sz w:val="32"/>
          <w:szCs w:val="32"/>
          <w:lang w:val="en-US" w:eastAsia="zh-CN"/>
        </w:rPr>
        <w:t xml:space="preserve"> </w:t>
      </w:r>
    </w:p>
    <w:p w14:paraId="279D39F0">
      <w:pPr>
        <w:spacing w:line="360" w:lineRule="auto"/>
        <w:ind w:firstLine="1726" w:firstLineChars="500"/>
        <w:rPr>
          <w:rFonts w:hint="default" w:ascii="宋体" w:hAnsi="宋体" w:eastAsia="宋体" w:cs="宋体"/>
          <w:b/>
          <w:bCs/>
          <w:spacing w:val="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2"/>
          <w:sz w:val="32"/>
          <w:szCs w:val="32"/>
        </w:rPr>
        <w:t>供应商：</w:t>
      </w:r>
      <w:r>
        <w:rPr>
          <w:rFonts w:hint="eastAsia" w:ascii="宋体" w:hAnsi="宋体" w:cs="宋体"/>
          <w:b/>
          <w:bCs/>
          <w:spacing w:val="12"/>
          <w:sz w:val="32"/>
          <w:szCs w:val="32"/>
          <w:lang w:val="en-US" w:eastAsia="zh-CN"/>
        </w:rPr>
        <w:t xml:space="preserve"> </w:t>
      </w:r>
    </w:p>
    <w:p w14:paraId="6DE2819E">
      <w:pPr>
        <w:spacing w:line="360" w:lineRule="auto"/>
        <w:rPr>
          <w:rFonts w:hint="eastAsia"/>
          <w:sz w:val="24"/>
          <w:lang w:val="en-US" w:eastAsia="zh-CN"/>
        </w:rPr>
      </w:pPr>
    </w:p>
    <w:p w14:paraId="695B52EA">
      <w:pPr>
        <w:spacing w:line="360" w:lineRule="auto"/>
        <w:rPr>
          <w:rFonts w:hint="eastAsia"/>
          <w:sz w:val="24"/>
          <w:lang w:val="en-US" w:eastAsia="zh-CN"/>
        </w:rPr>
      </w:pPr>
    </w:p>
    <w:p w14:paraId="653CC74C">
      <w:pPr>
        <w:spacing w:line="360" w:lineRule="auto"/>
        <w:rPr>
          <w:rFonts w:hint="eastAsia"/>
          <w:sz w:val="24"/>
          <w:lang w:val="en-US" w:eastAsia="zh-CN"/>
        </w:rPr>
        <w:sectPr>
          <w:pgSz w:w="11906" w:h="16838"/>
          <w:pgMar w:top="1417" w:right="1417" w:bottom="1417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rtlGutter w:val="0"/>
          <w:docGrid w:type="lines" w:linePitch="318" w:charSpace="0"/>
        </w:sectPr>
      </w:pPr>
    </w:p>
    <w:p w14:paraId="3E9E3173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签</w:t>
      </w:r>
      <w:r>
        <w:rPr>
          <w:rFonts w:hint="eastAsia"/>
          <w:sz w:val="24"/>
        </w:rPr>
        <w:t>订地点：</w:t>
      </w:r>
      <w:r>
        <w:rPr>
          <w:rFonts w:hint="eastAsia"/>
          <w:sz w:val="24"/>
          <w:lang w:val="en-US" w:eastAsia="zh-CN"/>
        </w:rPr>
        <w:t>渭南市</w:t>
      </w:r>
      <w:r>
        <w:rPr>
          <w:rFonts w:hint="eastAsia"/>
          <w:sz w:val="24"/>
        </w:rPr>
        <w:t xml:space="preserve">  </w:t>
      </w:r>
    </w:p>
    <w:p w14:paraId="3D183B9C">
      <w:pPr>
        <w:spacing w:line="360" w:lineRule="auto"/>
        <w:rPr>
          <w:sz w:val="24"/>
        </w:rPr>
      </w:pPr>
      <w:r>
        <w:rPr>
          <w:rFonts w:hint="eastAsia"/>
          <w:sz w:val="24"/>
        </w:rPr>
        <w:t>项目编号：</w:t>
      </w:r>
      <w:r>
        <w:rPr>
          <w:rFonts w:hint="eastAsia"/>
          <w:sz w:val="24"/>
          <w:lang w:val="en-US" w:eastAsia="zh-CN"/>
        </w:rPr>
        <w:t xml:space="preserve">     </w:t>
      </w:r>
      <w:r>
        <w:rPr>
          <w:rFonts w:hint="eastAsia"/>
          <w:sz w:val="24"/>
        </w:rPr>
        <w:t xml:space="preserve">                </w:t>
      </w:r>
      <w:r>
        <w:rPr>
          <w:sz w:val="24"/>
        </w:rPr>
        <w:t xml:space="preserve">            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 xml:space="preserve"> </w:t>
      </w:r>
    </w:p>
    <w:p w14:paraId="710BC8F5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签订时间：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年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月  日</w:t>
      </w:r>
    </w:p>
    <w:p w14:paraId="12F08482">
      <w:pPr>
        <w:spacing w:line="360" w:lineRule="auto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采购人：</w:t>
      </w:r>
      <w:r>
        <w:rPr>
          <w:rFonts w:hint="eastAsia"/>
          <w:sz w:val="24"/>
          <w:lang w:eastAsia="zh-CN"/>
        </w:rPr>
        <w:t>渭南市教育局</w:t>
      </w:r>
    </w:p>
    <w:p w14:paraId="48D1C105">
      <w:pPr>
        <w:spacing w:line="360" w:lineRule="auto"/>
        <w:rPr>
          <w:rFonts w:hint="default" w:eastAsia="宋体"/>
          <w:sz w:val="24"/>
          <w:lang w:val="en-US" w:eastAsia="zh-CN"/>
        </w:rPr>
      </w:pPr>
      <w:r>
        <w:rPr>
          <w:rFonts w:hint="eastAsia"/>
          <w:sz w:val="24"/>
        </w:rPr>
        <w:t>供应商：</w:t>
      </w:r>
      <w:r>
        <w:rPr>
          <w:rFonts w:hint="eastAsia"/>
          <w:sz w:val="24"/>
          <w:lang w:val="en-US" w:eastAsia="zh-CN"/>
        </w:rPr>
        <w:t xml:space="preserve"> </w:t>
      </w:r>
    </w:p>
    <w:p w14:paraId="1975F59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</w:t>
      </w:r>
      <w:r>
        <w:rPr>
          <w:rFonts w:hint="eastAsia" w:ascii="宋体" w:hAnsi="宋体" w:cs="宋体"/>
          <w:b/>
          <w:bCs/>
          <w:sz w:val="24"/>
          <w:u w:val="single"/>
          <w:lang w:eastAsia="zh-CN"/>
        </w:rPr>
        <w:t>渭南市“十五五”教育事业发展、中小幼布局调整及中心城区教育设施布局专项规划编制项目</w:t>
      </w:r>
      <w:r>
        <w:rPr>
          <w:rFonts w:hint="eastAsia" w:ascii="宋体" w:hAnsi="宋体" w:eastAsia="宋体" w:cs="宋体"/>
          <w:sz w:val="24"/>
        </w:rPr>
        <w:t>的采购结果，按照《中华人民共和国政府采购法》、《中华人民共和国民法典》等规定，经双方协商，本着</w:t>
      </w:r>
      <w:r>
        <w:rPr>
          <w:rFonts w:hint="eastAsia" w:ascii="宋体" w:hAnsi="宋体" w:cs="宋体"/>
          <w:sz w:val="24"/>
          <w:lang w:val="en-US" w:eastAsia="zh-CN"/>
        </w:rPr>
        <w:t>公正</w:t>
      </w:r>
      <w:r>
        <w:rPr>
          <w:rFonts w:hint="eastAsia" w:ascii="宋体" w:hAnsi="宋体" w:eastAsia="宋体" w:cs="宋体"/>
          <w:sz w:val="24"/>
        </w:rPr>
        <w:t>和诚实信用的原则，一致同意签订本合同如下。</w:t>
      </w:r>
    </w:p>
    <w:p w14:paraId="5E0700F1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一、合同文件</w:t>
      </w:r>
    </w:p>
    <w:p w14:paraId="47F0DA7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1、合同条款；</w:t>
      </w:r>
    </w:p>
    <w:p w14:paraId="060CE76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</w:t>
      </w:r>
      <w:r>
        <w:rPr>
          <w:rFonts w:hint="eastAsia" w:ascii="宋体" w:hAnsi="宋体" w:cs="宋体"/>
          <w:sz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</w:rPr>
        <w:t>文件；</w:t>
      </w:r>
    </w:p>
    <w:p w14:paraId="6DC65D2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文件；</w:t>
      </w:r>
    </w:p>
    <w:p w14:paraId="35F8027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</w:t>
      </w:r>
      <w:r>
        <w:rPr>
          <w:rFonts w:hint="eastAsia" w:ascii="宋体" w:hAnsi="宋体" w:cs="宋体"/>
          <w:sz w:val="24"/>
          <w:lang w:val="en-US" w:eastAsia="zh-CN"/>
        </w:rPr>
        <w:t>中标</w:t>
      </w:r>
      <w:r>
        <w:rPr>
          <w:rFonts w:hint="eastAsia" w:ascii="宋体" w:hAnsi="宋体" w:eastAsia="宋体" w:cs="宋体"/>
          <w:sz w:val="24"/>
        </w:rPr>
        <w:t>通知书；</w:t>
      </w:r>
    </w:p>
    <w:p w14:paraId="7B10065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5、其他。</w:t>
      </w:r>
    </w:p>
    <w:p w14:paraId="53B2EFB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上述所指合同文件应认为是互相补充和解释的，但是有模棱两可或互相矛盾之处，以其所列内容顺序为准。</w:t>
      </w:r>
    </w:p>
    <w:p w14:paraId="0C55566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bookmarkStart w:id="0" w:name="_Toc9090"/>
      <w:r>
        <w:rPr>
          <w:rFonts w:hint="eastAsia" w:ascii="宋体" w:hAnsi="宋体" w:eastAsia="宋体" w:cs="宋体"/>
          <w:sz w:val="24"/>
        </w:rPr>
        <w:t>二、合同价款</w:t>
      </w:r>
      <w:bookmarkEnd w:id="0"/>
    </w:p>
    <w:p w14:paraId="2E0136ED"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（一）合同总价款为人民币（大写）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4"/>
        </w:rPr>
        <w:t>（￥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</w:rPr>
        <w:t>）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。</w:t>
      </w:r>
    </w:p>
    <w:p w14:paraId="58C072A8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（二）合同总价款是指完成本次活动包含的所有</w:t>
      </w:r>
      <w:r>
        <w:rPr>
          <w:rFonts w:hint="eastAsia"/>
          <w:sz w:val="24"/>
          <w:lang w:val="en-US" w:eastAsia="zh-CN"/>
        </w:rPr>
        <w:t>费用</w:t>
      </w:r>
      <w:r>
        <w:rPr>
          <w:rFonts w:hint="eastAsia"/>
          <w:sz w:val="24"/>
        </w:rPr>
        <w:t>，包括但不限于本次项目资料整理费、编制费、咨询费、人工费、材料费、交通费、住宿费、管理费、评审费、税金、利润、磋商文件明示及暗示所有风险等所有费用，服务期内采购人不再增加任何费用。</w:t>
      </w:r>
    </w:p>
    <w:p w14:paraId="60961DD5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（三）合同总价一次性包死，不受市场价格变化因素的影响。</w:t>
      </w:r>
      <w:bookmarkStart w:id="1" w:name="_Toc5628"/>
    </w:p>
    <w:p w14:paraId="19B35A30">
      <w:pPr>
        <w:spacing w:line="360" w:lineRule="auto"/>
        <w:ind w:firstLine="482" w:firstLineChars="200"/>
        <w:rPr>
          <w:b/>
          <w:sz w:val="24"/>
        </w:rPr>
      </w:pPr>
      <w:r>
        <w:rPr>
          <w:rFonts w:hint="eastAsia"/>
          <w:b/>
          <w:sz w:val="24"/>
        </w:rPr>
        <w:t>三、款项结算</w:t>
      </w:r>
      <w:bookmarkEnd w:id="1"/>
    </w:p>
    <w:p w14:paraId="6A6BC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 xml:space="preserve">（一）合同价款的支付：合同签订后预付合同价款的50%，剩余款项验收合格后一次付清。        </w:t>
      </w:r>
    </w:p>
    <w:p w14:paraId="4E9CA201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结算方式：银行转账。</w:t>
      </w:r>
    </w:p>
    <w:p w14:paraId="27170FFA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支付方式：由采购人负责结算，合同签订后，供应商在接受付款前，开具等额发票给采购人。</w:t>
      </w:r>
    </w:p>
    <w:p w14:paraId="23E7D2FB">
      <w:pPr>
        <w:spacing w:line="360" w:lineRule="auto"/>
        <w:ind w:firstLine="482" w:firstLineChars="200"/>
        <w:rPr>
          <w:rFonts w:hint="eastAsia" w:eastAsia="宋体"/>
          <w:b/>
          <w:sz w:val="24"/>
          <w:lang w:eastAsia="zh-CN"/>
        </w:rPr>
      </w:pPr>
      <w:bookmarkStart w:id="2" w:name="_Toc12029"/>
      <w:r>
        <w:rPr>
          <w:rFonts w:hint="eastAsia"/>
          <w:b/>
          <w:sz w:val="24"/>
        </w:rPr>
        <w:t>四、服务</w:t>
      </w:r>
      <w:bookmarkEnd w:id="2"/>
      <w:r>
        <w:rPr>
          <w:rFonts w:hint="eastAsia"/>
          <w:b/>
          <w:sz w:val="24"/>
          <w:lang w:val="en-US" w:eastAsia="zh-CN"/>
        </w:rPr>
        <w:t>内容</w:t>
      </w:r>
    </w:p>
    <w:p w14:paraId="30A4F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（一）服务地点：</w:t>
      </w:r>
      <w:r>
        <w:rPr>
          <w:rFonts w:hint="eastAsia"/>
          <w:sz w:val="24"/>
          <w:lang w:val="en-US" w:eastAsia="zh-CN"/>
        </w:rPr>
        <w:t>渭南市</w:t>
      </w:r>
      <w:r>
        <w:rPr>
          <w:rFonts w:hint="eastAsia"/>
          <w:sz w:val="24"/>
        </w:rPr>
        <w:t>。</w:t>
      </w:r>
    </w:p>
    <w:p w14:paraId="16C35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/>
          <w:sz w:val="24"/>
        </w:rPr>
        <w:t>（二）</w:t>
      </w:r>
      <w:r>
        <w:rPr>
          <w:rFonts w:hint="eastAsia" w:ascii="宋体" w:hAnsi="宋体" w:cs="宋体"/>
          <w:kern w:val="0"/>
          <w:sz w:val="24"/>
          <w:szCs w:val="21"/>
        </w:rPr>
        <w:t>服务期</w:t>
      </w:r>
      <w:r>
        <w:rPr>
          <w:rFonts w:hint="eastAsia"/>
          <w:sz w:val="24"/>
        </w:rPr>
        <w:t>：</w:t>
      </w:r>
      <w:r>
        <w:rPr>
          <w:sz w:val="24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         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。</w:t>
      </w:r>
    </w:p>
    <w:p w14:paraId="10ECC04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服务内容：</w:t>
      </w:r>
    </w:p>
    <w:p w14:paraId="520E9B1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采购包1：科学谋划渭南市“十五五”(2026-2030年)期间教育事业改革发展蓝图，开展《渭南市“十五五”教育事业发展规划》编制服务。</w:t>
      </w:r>
    </w:p>
    <w:p w14:paraId="7F6B2F9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采购包2：优化全市中小学校、幼儿园空间布局,开展《渭南市中小幼布局专项规划(2026-2030年)》编制服务。</w:t>
      </w:r>
    </w:p>
    <w:p w14:paraId="4E7E021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采购包3：解诀中心城区教育资源供需矛盾,开展《渭南中心城区教育设施布局专项规划(2021-2035年)》编制服务。</w:t>
      </w:r>
    </w:p>
    <w:p w14:paraId="79EE604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（四）服务要求：</w:t>
      </w:r>
    </w:p>
    <w:p w14:paraId="5A716EC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 xml:space="preserve">1.规划期限 </w:t>
      </w:r>
    </w:p>
    <w:p w14:paraId="279669B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规划的期限为2026—2030年</w:t>
      </w:r>
    </w:p>
    <w:p w14:paraId="59865D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2.编制目标</w:t>
      </w:r>
    </w:p>
    <w:p w14:paraId="3B7F8A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坚持以人民为中心的发展思想，强化规划战略引领，开展教育资源前瞻布局和动态调整，不断提升教育公共服务的普惠性、可及性、便捷性,更好满足人民群众接受公平优质教育资源的愿望。</w:t>
      </w:r>
    </w:p>
    <w:p w14:paraId="7A9BB00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3.编制要求</w:t>
      </w:r>
    </w:p>
    <w:p w14:paraId="5BE99BE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制定工作实施方案，建立协同工作机制，落实任务分工，组织做好实地调研、资料收集、数据测算、分析论证等工作。</w:t>
      </w:r>
    </w:p>
    <w:p w14:paraId="15251A8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4.服务质量要求</w:t>
      </w:r>
    </w:p>
    <w:p w14:paraId="1A8094E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1、需严格符合相关法律法规、规章、政策的规定。数据要准确可靠、目标要科学合理、重点任务要明确可行、路径举措需具实践性、可操作性。</w:t>
      </w:r>
    </w:p>
    <w:p w14:paraId="7BD47A7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2、供应商在规定时间内完成规划编制。同时，在规划编制过程中，根据编制需求随时配合实地研究，需及时与相关部门沟通协调，根据反馈意见迅速修改完善规划内容，确保规划编制工作按计划推进，保障规划编制高质高效完成。</w:t>
      </w:r>
    </w:p>
    <w:p w14:paraId="7743637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（五）、成果要求及内容</w:t>
      </w:r>
    </w:p>
    <w:p w14:paraId="5FFE706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1.成果包括但不限于规划说明书、规划文本、规划图表、数据库、专题研究报告、市级教育行政部门审核文件等。项目完成后，供应商需配合甲方完成项目评审、报批等相关工作。</w:t>
      </w:r>
    </w:p>
    <w:p w14:paraId="134DE3F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2.规划文本标准：内容符合相关法律法规、规章、政策的规定；发展目标明确、量化且具有可考核性；任务措施具体、可行，突出针对性和可操作性；文本结构严谨、逻辑清晰、语言简洁规范，格式符合相关标准，成果或服务应符合相关的法律法规及行业的标准规范。</w:t>
      </w:r>
    </w:p>
    <w:p w14:paraId="0A5BCFB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五、技术资料</w:t>
      </w:r>
    </w:p>
    <w:p w14:paraId="231B38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</w:t>
      </w:r>
      <w:bookmarkStart w:id="3" w:name="_Hlk73203142"/>
      <w:r>
        <w:rPr>
          <w:rFonts w:hint="eastAsia" w:ascii="宋体" w:hAnsi="宋体" w:cs="宋体"/>
          <w:kern w:val="0"/>
          <w:sz w:val="24"/>
          <w:szCs w:val="21"/>
        </w:rPr>
        <w:t>供应商</w:t>
      </w:r>
      <w:bookmarkEnd w:id="3"/>
      <w:r>
        <w:rPr>
          <w:rFonts w:hint="eastAsia" w:ascii="宋体" w:hAnsi="宋体" w:cs="宋体"/>
          <w:kern w:val="0"/>
          <w:sz w:val="24"/>
          <w:szCs w:val="21"/>
        </w:rPr>
        <w:t>应按磋商文件规定的时间向采购人提供完成项目的有关服务资料。</w:t>
      </w:r>
    </w:p>
    <w:p w14:paraId="4F7724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没有采购人事先书面同意，供应商不得将由采购人提供的有关合同或任何合同条文、规格、计划或资料提供给与履行本合同无关的任何其他人。即使向履行本合同有关的人员提供，也应注意保密并限于履行合同的必需范围。</w:t>
      </w:r>
    </w:p>
    <w:p w14:paraId="7FCCE9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六、技术</w:t>
      </w:r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资料</w:t>
      </w:r>
      <w:r>
        <w:rPr>
          <w:rFonts w:hint="eastAsia" w:ascii="宋体" w:hAnsi="宋体" w:cs="宋体"/>
          <w:b/>
          <w:kern w:val="0"/>
          <w:sz w:val="24"/>
          <w:szCs w:val="21"/>
        </w:rPr>
        <w:t>的保密</w:t>
      </w:r>
    </w:p>
    <w:p w14:paraId="741EB44F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1.采购人、供应商双方商定，供应商取得的所有原始技术资料在工作结束后交还采购人，供应商不得对外泄露。</w:t>
      </w:r>
    </w:p>
    <w:p w14:paraId="39EE2F4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相关资料</w:t>
      </w:r>
      <w:r>
        <w:rPr>
          <w:rFonts w:hint="eastAsia" w:ascii="宋体" w:hAnsi="宋体" w:cs="宋体"/>
          <w:kern w:val="0"/>
          <w:sz w:val="24"/>
          <w:szCs w:val="21"/>
        </w:rPr>
        <w:t>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59F879B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七、转让或分包</w:t>
      </w:r>
    </w:p>
    <w:p w14:paraId="755E41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24945A4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5A399C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4" w:name="_Toc28452"/>
      <w:r>
        <w:rPr>
          <w:rFonts w:hint="eastAsia" w:ascii="宋体" w:hAnsi="宋体" w:cs="宋体"/>
          <w:b/>
          <w:kern w:val="0"/>
          <w:sz w:val="24"/>
          <w:szCs w:val="21"/>
        </w:rPr>
        <w:t>八、采购人的权利及义务</w:t>
      </w:r>
      <w:bookmarkEnd w:id="4"/>
    </w:p>
    <w:p w14:paraId="1099F13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（一）采购人的权利</w:t>
      </w:r>
    </w:p>
    <w:p w14:paraId="0C6D5CE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．采购人有权向供应商询问工作进展情况及相关的内容。</w:t>
      </w:r>
    </w:p>
    <w:p w14:paraId="2229256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．采购人有权阐述对具体问题的意见和建议。</w:t>
      </w:r>
    </w:p>
    <w:p w14:paraId="6894042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 xml:space="preserve">3. </w:t>
      </w:r>
      <w:r>
        <w:rPr>
          <w:rFonts w:hint="eastAsia" w:ascii="宋体" w:hAnsi="宋体" w:cs="宋体"/>
          <w:kern w:val="0"/>
          <w:sz w:val="24"/>
          <w:szCs w:val="21"/>
        </w:rPr>
        <w:t>采购人有权根据项目的具体情况，要求供应商按期到项目现场勘探解决争议。</w:t>
      </w:r>
    </w:p>
    <w:p w14:paraId="0B8FFF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4</w:t>
      </w:r>
      <w:r>
        <w:rPr>
          <w:rFonts w:hint="eastAsia" w:ascii="宋体" w:hAnsi="宋体" w:cs="宋体"/>
          <w:kern w:val="0"/>
          <w:sz w:val="24"/>
          <w:szCs w:val="21"/>
        </w:rPr>
        <w:t>．当采购人认定供应商专业人员不按合同履行其职责，或与第三人串通给采购人造成损失的，采购人有权要求更换专业人员，直至终止合同并要求供应商承担相应的赔偿责任。</w:t>
      </w:r>
    </w:p>
    <w:p w14:paraId="5FFD9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（二）采购人的义务</w:t>
      </w:r>
    </w:p>
    <w:p w14:paraId="0524E85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．采购人应当在约定的时间内，向供应商提供与本项目实施有关的资料。</w:t>
      </w:r>
    </w:p>
    <w:p w14:paraId="02370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5" w:name="_Toc14300"/>
      <w:r>
        <w:rPr>
          <w:rFonts w:hint="eastAsia" w:ascii="宋体" w:hAnsi="宋体" w:cs="宋体"/>
          <w:b/>
          <w:kern w:val="0"/>
          <w:sz w:val="24"/>
          <w:szCs w:val="21"/>
        </w:rPr>
        <w:t>九、供应商的权利及义务</w:t>
      </w:r>
      <w:bookmarkEnd w:id="5"/>
    </w:p>
    <w:p w14:paraId="24E0A22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（一）供应商的权利</w:t>
      </w:r>
    </w:p>
    <w:p w14:paraId="250D1E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1.</w:t>
      </w:r>
      <w:r>
        <w:rPr>
          <w:rFonts w:hint="eastAsia" w:ascii="宋体" w:hAnsi="宋体" w:cs="宋体"/>
          <w:kern w:val="0"/>
          <w:sz w:val="24"/>
          <w:szCs w:val="21"/>
        </w:rPr>
        <w:t>供应商在项目实施过程中，如采购人提供的资料不明确时可向采购人提出书面报告。</w:t>
      </w:r>
    </w:p>
    <w:p w14:paraId="4B7AD30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.供应商在项目实施过程中，有到项目现场勘察的权利。</w:t>
      </w:r>
    </w:p>
    <w:p w14:paraId="110B42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（二）供应商的义务</w:t>
      </w:r>
    </w:p>
    <w:p w14:paraId="75AF9B09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bookmarkStart w:id="6" w:name="_Toc534"/>
      <w:r>
        <w:rPr>
          <w:rFonts w:hint="eastAsia" w:ascii="宋体" w:hAnsi="宋体" w:eastAsia="宋体" w:cs="宋体"/>
          <w:kern w:val="0"/>
          <w:sz w:val="24"/>
        </w:rPr>
        <w:t>1．人员配备合理。有针对本项目的专项服务小组，项目负责人、工作人员分工明确（应有具体成员名单，包括姓名、工作职责等），并按合同约定的范围实施业务。</w:t>
      </w:r>
    </w:p>
    <w:p w14:paraId="563C6822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2．应及时向采购人汇报该项目完成进度。</w:t>
      </w:r>
    </w:p>
    <w:p w14:paraId="4762601F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3．在履行合同期间或合同规定期限内，不得泄露与本合同规定业务活动有关的保密资料。</w:t>
      </w:r>
    </w:p>
    <w:p w14:paraId="267DED10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4．在编制成果工作过程中，如遇采购人所提供的材料有不统一、不明确、不详实之处时，应立即与采购人沟通，不得以此延误时间。</w:t>
      </w:r>
    </w:p>
    <w:p w14:paraId="755B27BF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5.供应商除编制本项目成果外，还应负责协助采购人完成成果文件的验收等工作。</w:t>
      </w:r>
    </w:p>
    <w:p w14:paraId="182DDC3C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6.</w:t>
      </w:r>
      <w:r>
        <w:rPr>
          <w:rFonts w:hint="eastAsia" w:ascii="宋体" w:hAnsi="宋体" w:eastAsia="宋体" w:cs="宋体"/>
          <w:kern w:val="0"/>
          <w:sz w:val="24"/>
        </w:rPr>
        <w:t>在规定时间内完成规划纲要的编制、专家论证评审等工作。</w:t>
      </w:r>
      <w:bookmarkStart w:id="8" w:name="_GoBack"/>
      <w:bookmarkEnd w:id="8"/>
      <w:r>
        <w:rPr>
          <w:rFonts w:hint="eastAsia" w:ascii="宋体" w:hAnsi="宋体" w:eastAsia="宋体" w:cs="宋体"/>
          <w:kern w:val="0"/>
          <w:sz w:val="24"/>
        </w:rPr>
        <w:t>同时，在规划编制过程中，根据编制需求随时配合实地研究，需及时与相关部门沟通协调，根据反馈意见迅速修改完善规划内容，确保规划编制工作按计划推进，保障规划编制高质高效完成。</w:t>
      </w:r>
    </w:p>
    <w:p w14:paraId="6D988469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十、服务保证</w:t>
      </w:r>
      <w:bookmarkEnd w:id="6"/>
    </w:p>
    <w:p w14:paraId="71424155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bookmarkStart w:id="7" w:name="_Toc26949"/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符合相关法律法规、规章、政策的规定，满足渭南市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有关工作部署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要求及采购人需求</w:t>
      </w:r>
    </w:p>
    <w:p w14:paraId="23302B34">
      <w:pPr>
        <w:spacing w:line="360" w:lineRule="auto"/>
        <w:ind w:firstLine="482" w:firstLineChars="200"/>
        <w:outlineLvl w:val="1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十一、违约责任</w:t>
      </w:r>
      <w:bookmarkEnd w:id="7"/>
    </w:p>
    <w:p w14:paraId="27F003D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（一）采购人因未及时向供应商提供项目启动所需资料、协调地方关系造成工期延误，每延误</w:t>
      </w:r>
      <w:r>
        <w:rPr>
          <w:rFonts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</w:rPr>
        <w:t>日则本合同服务期限延长</w:t>
      </w:r>
      <w:r>
        <w:rPr>
          <w:rFonts w:ascii="宋体" w:hAnsi="宋体" w:cs="宋体"/>
          <w:bCs/>
          <w:sz w:val="24"/>
        </w:rPr>
        <w:t>1</w:t>
      </w:r>
      <w:r>
        <w:rPr>
          <w:rFonts w:hint="eastAsia" w:ascii="宋体" w:hAnsi="宋体" w:cs="宋体"/>
          <w:bCs/>
          <w:sz w:val="24"/>
        </w:rPr>
        <w:t>日，以此类推。</w:t>
      </w:r>
    </w:p>
    <w:p w14:paraId="14296D7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（二）因供应商原因造成</w:t>
      </w:r>
      <w:r>
        <w:rPr>
          <w:rFonts w:hint="eastAsia" w:ascii="宋体" w:hAnsi="宋体" w:cs="宋体"/>
          <w:bCs/>
          <w:sz w:val="24"/>
          <w:lang w:val="en-US" w:eastAsia="zh-CN"/>
        </w:rPr>
        <w:t>服务</w:t>
      </w:r>
      <w:r>
        <w:rPr>
          <w:rFonts w:hint="eastAsia" w:ascii="宋体" w:hAnsi="宋体" w:cs="宋体"/>
          <w:bCs/>
          <w:sz w:val="24"/>
        </w:rPr>
        <w:t>期延误（自然灾害等不可抗力除外），采购人有权从未付款项中按每日</w:t>
      </w:r>
      <w:r>
        <w:rPr>
          <w:rFonts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</w:rPr>
        <w:t>‰合同价款扣除违约金，此违约以</w:t>
      </w:r>
      <w:r>
        <w:rPr>
          <w:rFonts w:ascii="宋体" w:hAnsi="宋体" w:cs="宋体"/>
          <w:bCs/>
          <w:sz w:val="24"/>
        </w:rPr>
        <w:t>30</w:t>
      </w:r>
      <w:r>
        <w:rPr>
          <w:rFonts w:hint="eastAsia" w:ascii="宋体" w:hAnsi="宋体" w:cs="宋体"/>
          <w:bCs/>
          <w:sz w:val="24"/>
        </w:rPr>
        <w:t>日为限；若采购人未按约定时间付款，则供应商有权按每日</w:t>
      </w:r>
      <w:r>
        <w:rPr>
          <w:rFonts w:ascii="宋体" w:hAnsi="宋体" w:cs="宋体"/>
          <w:bCs/>
          <w:sz w:val="24"/>
        </w:rPr>
        <w:t>3</w:t>
      </w:r>
      <w:r>
        <w:rPr>
          <w:rFonts w:hint="eastAsia" w:ascii="宋体" w:hAnsi="宋体" w:cs="宋体"/>
          <w:bCs/>
          <w:sz w:val="24"/>
        </w:rPr>
        <w:t>‰合同价款收取违约金。</w:t>
      </w:r>
    </w:p>
    <w:p w14:paraId="3F4BBD6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十二、不可抗力事件处理</w:t>
      </w:r>
    </w:p>
    <w:p w14:paraId="2D47BD6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 在合同有效期内，任何一方因不可抗力事件导致不能履行合同，则合同履行期可延长，其延长期与不可抗力影响期相同。</w:t>
      </w:r>
    </w:p>
    <w:p w14:paraId="5E60849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 不可抗力事件发生后，应立即通知对方，并寄送有关权威机构出具的证明。</w:t>
      </w:r>
    </w:p>
    <w:p w14:paraId="512BB92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3. 不可抗力事件延续120天以上，双方应通过友好协商，确定是否继续履行合同。</w:t>
      </w:r>
    </w:p>
    <w:p w14:paraId="027096C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十三、诉讼</w:t>
      </w:r>
    </w:p>
    <w:p w14:paraId="46C1D6A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0687E15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十四、合同生效及其它</w:t>
      </w:r>
    </w:p>
    <w:p w14:paraId="3690C75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1、本合同经采购人、供应商法定代表人或其委托人签字并加盖公章后生效。</w:t>
      </w:r>
    </w:p>
    <w:p w14:paraId="7CA9E5A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2、本合同一式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陆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份，采购人、供应商各执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贰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份，其余相关部门各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  <w:lang w:val="en-US" w:eastAsia="zh-CN"/>
        </w:rPr>
        <w:t>壹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份。</w:t>
      </w:r>
    </w:p>
    <w:p w14:paraId="5CA041E4">
      <w:pPr>
        <w:pStyle w:val="8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</w:p>
    <w:p w14:paraId="6622784D">
      <w:pPr>
        <w:pStyle w:val="8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</w:p>
    <w:p w14:paraId="2BBA613D">
      <w:pPr>
        <w:pStyle w:val="8"/>
        <w:spacing w:line="360" w:lineRule="auto"/>
        <w:ind w:firstLine="240" w:firstLineChars="100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供应商（章）：         </w:t>
      </w:r>
    </w:p>
    <w:p w14:paraId="0BC87BEE">
      <w:pPr>
        <w:pStyle w:val="8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</w:p>
    <w:p w14:paraId="3DA72B14">
      <w:pPr>
        <w:pStyle w:val="8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法定代表人 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法定代表人</w:t>
      </w:r>
    </w:p>
    <w:p w14:paraId="35E5EC0F">
      <w:pPr>
        <w:pStyle w:val="8"/>
        <w:spacing w:line="360" w:lineRule="auto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>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</w:t>
      </w:r>
    </w:p>
    <w:p w14:paraId="5A887F6C">
      <w:pPr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39B3CD14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  <w:t xml:space="preserve">年   月   日                                 年   月   </w:t>
      </w:r>
      <w:r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  <w:t>日</w:t>
      </w:r>
    </w:p>
    <w:p w14:paraId="73E4D961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4E610D9C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0B85BA69">
      <w:pPr>
        <w:spacing w:line="360" w:lineRule="auto"/>
        <w:jc w:val="center"/>
        <w:rPr>
          <w:rFonts w:hint="eastAsia" w:ascii="宋体" w:hAnsi="宋体" w:cs="宋体"/>
          <w:color w:val="auto"/>
          <w:kern w:val="0"/>
          <w:sz w:val="24"/>
          <w:szCs w:val="21"/>
          <w:lang w:val="en-US" w:eastAsia="zh-CN" w:bidi="ar-SA"/>
        </w:rPr>
      </w:pPr>
    </w:p>
    <w:p w14:paraId="4788E0E6">
      <w:pPr>
        <w:spacing w:line="360" w:lineRule="auto"/>
        <w:jc w:val="center"/>
        <w:rPr>
          <w:rFonts w:hint="eastAsia" w:ascii="宋体" w:hAnsi="宋体" w:eastAsia="宋体" w:cs="宋体"/>
          <w:color w:val="auto"/>
          <w:kern w:val="0"/>
          <w:sz w:val="24"/>
          <w:szCs w:val="21"/>
          <w:lang w:val="en-US" w:eastAsia="zh-CN" w:bidi="ar-SA"/>
        </w:rPr>
      </w:pPr>
      <w:r>
        <w:rPr>
          <w:rFonts w:hint="eastAsia" w:ascii="Tahoma" w:hAnsi="Tahoma"/>
          <w:lang w:val="en-US" w:eastAsia="zh-CN"/>
        </w:rPr>
        <w:t xml:space="preserve"> </w:t>
      </w:r>
    </w:p>
    <w:p w14:paraId="3DDBFA9C"/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4E599">
    <w:pPr>
      <w:pStyle w:val="1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169B7D">
                          <w:pPr>
                            <w:pStyle w:val="11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169B7D">
                    <w:pPr>
                      <w:pStyle w:val="11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847876"/>
    <w:multiLevelType w:val="singleLevel"/>
    <w:tmpl w:val="B884787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6024E"/>
    <w:rsid w:val="0B0C260F"/>
    <w:rsid w:val="0BCB2360"/>
    <w:rsid w:val="1C5E1BE1"/>
    <w:rsid w:val="263F6F86"/>
    <w:rsid w:val="267D7507"/>
    <w:rsid w:val="31B55068"/>
    <w:rsid w:val="3A3A5DC4"/>
    <w:rsid w:val="3EAD5FE8"/>
    <w:rsid w:val="41074AF1"/>
    <w:rsid w:val="492405D1"/>
    <w:rsid w:val="49E730A6"/>
    <w:rsid w:val="4FC27B2B"/>
    <w:rsid w:val="52100317"/>
    <w:rsid w:val="5A3C5498"/>
    <w:rsid w:val="5F326917"/>
    <w:rsid w:val="5FFB7B25"/>
    <w:rsid w:val="60C0639C"/>
    <w:rsid w:val="67494791"/>
    <w:rsid w:val="74F233D7"/>
    <w:rsid w:val="78AA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tabs>
        <w:tab w:val="left" w:pos="432"/>
        <w:tab w:val="left" w:pos="576"/>
      </w:tabs>
      <w:ind w:left="0" w:firstLine="0" w:firstLineChars="0"/>
      <w:jc w:val="center"/>
      <w:outlineLvl w:val="0"/>
    </w:pPr>
    <w:rPr>
      <w:rFonts w:ascii="Times New Roman" w:hAnsi="Times New Roman" w:eastAsia="宋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line="416" w:lineRule="auto"/>
      <w:ind w:firstLine="0" w:firstLineChars="0"/>
      <w:jc w:val="left"/>
      <w:outlineLvl w:val="1"/>
    </w:pPr>
    <w:rPr>
      <w:rFonts w:ascii="Arial" w:hAnsi="Arial" w:eastAsia="仿宋" w:cs="Times New Roman"/>
      <w:bCs/>
      <w:sz w:val="24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360" w:lineRule="auto"/>
      <w:ind w:firstLine="200" w:firstLineChars="200"/>
      <w:jc w:val="center"/>
      <w:outlineLvl w:val="2"/>
    </w:pPr>
    <w:rPr>
      <w:rFonts w:ascii="Times New Roman" w:hAnsi="Times New Roman" w:eastAsia="宋体" w:cs="Times New Roman"/>
      <w:bCs/>
      <w:sz w:val="21"/>
      <w:szCs w:val="32"/>
    </w:rPr>
  </w:style>
  <w:style w:type="paragraph" w:styleId="5">
    <w:name w:val="heading 4"/>
    <w:next w:val="1"/>
    <w:semiHidden/>
    <w:unhideWhenUsed/>
    <w:qFormat/>
    <w:uiPriority w:val="0"/>
    <w:pPr>
      <w:widowControl w:val="0"/>
      <w:spacing w:line="360" w:lineRule="auto"/>
      <w:ind w:left="0" w:firstLine="420" w:firstLineChars="200"/>
      <w:jc w:val="left"/>
      <w:outlineLvl w:val="3"/>
    </w:pPr>
    <w:rPr>
      <w:rFonts w:ascii="微软雅黑" w:hAnsi="微软雅黑" w:eastAsia="仿宋" w:cs="微软雅黑"/>
      <w:bCs/>
      <w:kern w:val="2"/>
      <w:sz w:val="28"/>
      <w:szCs w:val="31"/>
      <w:lang w:val="zh-CN" w:eastAsia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Times New Roman" w:hAnsi="Times New Roman" w:eastAsia="宋体" w:cs="Times New Roman"/>
      <w:sz w:val="28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"/>
    <w:basedOn w:val="1"/>
    <w:next w:val="1"/>
    <w:qFormat/>
    <w:uiPriority w:val="99"/>
    <w:rPr>
      <w:color w:val="993300"/>
      <w:sz w:val="24"/>
    </w:rPr>
  </w:style>
  <w:style w:type="paragraph" w:styleId="9">
    <w:name w:val="toc 3"/>
    <w:basedOn w:val="1"/>
    <w:next w:val="1"/>
    <w:qFormat/>
    <w:uiPriority w:val="0"/>
    <w:pPr>
      <w:spacing w:line="240" w:lineRule="auto"/>
      <w:ind w:left="0" w:leftChars="0" w:firstLine="361" w:firstLineChars="100"/>
    </w:pPr>
    <w:rPr>
      <w:sz w:val="24"/>
    </w:rPr>
  </w:style>
  <w:style w:type="paragraph" w:styleId="10">
    <w:name w:val="Body Text Indent 2"/>
    <w:basedOn w:val="1"/>
    <w:qFormat/>
    <w:uiPriority w:val="0"/>
    <w:pPr>
      <w:spacing w:after="120" w:afterLines="0" w:afterAutospacing="0" w:line="480" w:lineRule="auto"/>
      <w:ind w:left="420" w:leftChars="2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13">
    <w:name w:val="toc 2"/>
    <w:basedOn w:val="1"/>
    <w:next w:val="1"/>
    <w:qFormat/>
    <w:uiPriority w:val="0"/>
    <w:pPr>
      <w:spacing w:line="240" w:lineRule="auto"/>
      <w:ind w:left="0" w:leftChars="0" w:firstLine="361" w:firstLineChars="100"/>
    </w:pPr>
    <w:rPr>
      <w:sz w:val="24"/>
    </w:rPr>
  </w:style>
  <w:style w:type="character" w:customStyle="1" w:styleId="16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</w:rPr>
  </w:style>
  <w:style w:type="paragraph" w:customStyle="1" w:styleId="17">
    <w:name w:val="正文缩进1"/>
    <w:basedOn w:val="1"/>
    <w:qFormat/>
    <w:uiPriority w:val="0"/>
    <w:pPr>
      <w:ind w:firstLine="420" w:firstLineChars="200"/>
    </w:p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2025-04-16T02:18:00Z</dcterms:created>
  <dc:creator>Administrator</dc:creator>
  <cp:lastModifiedBy>璇</cp:lastModifiedBy>
  <dcterms:modified xsi:type="dcterms:W3CDTF">2025-10-28T01:53:24Z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DF28FE5DC32D4A77BF89FCB8FB26405C_12</vt:lpwstr>
  </property>
  <property fmtid="{D5CDD505-2E9C-101B-9397-08002B2CF9AE}" pid="4" name="KSOTemplateDocerSaveRecord">
    <vt:lpwstr>eyJoZGlkIjoiNDllYzBmMzc3NmM2N2RjOGQxZDk5NmY4Zjc1MzUyOWQiLCJ1c2VySWQiOiIzNjc0NTk1NzUifQ==</vt:lpwstr>
  </property>
</Properties>
</file>