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69779">
      <w:pPr>
        <w:pStyle w:val="3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/>
          <w:sz w:val="32"/>
          <w:szCs w:val="32"/>
          <w:lang w:val="zh-CN"/>
        </w:rPr>
      </w:pPr>
      <w:bookmarkStart w:id="0" w:name="_GoBack"/>
      <w:r>
        <w:rPr>
          <w:rFonts w:hint="eastAsia"/>
          <w:sz w:val="32"/>
          <w:szCs w:val="32"/>
          <w:lang w:val="zh-CN"/>
        </w:rPr>
        <w:t>企业业绩</w:t>
      </w:r>
    </w:p>
    <w:p w14:paraId="11F01876">
      <w:pPr>
        <w:keepNext w:val="0"/>
        <w:keepLines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企业（2022年10月—至今）类似业绩（合同复印件加盖公章）</w:t>
      </w:r>
    </w:p>
    <w:bookmarkEnd w:id="0"/>
    <w:p w14:paraId="6B233B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E0C8E"/>
    <w:rsid w:val="2B7E0C8E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2025-10-29T06:31:00Z</dcterms:created>
  <dc:creator>GuoC</dc:creator>
  <cp:lastModifiedBy>GuoC</cp:lastModifiedBy>
  <dcterms:modified xsi:type="dcterms:W3CDTF">2025-10-29T06:31:32Z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708E17E9B75D488A94E9EBBA7006284C_11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