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版本号：ZCSP-渭南市-2025-00769.1B120251027001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北洛河防汛视频监测项目(二次)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ZCSP-渭南市-2025-00769.1B1</w:t>
      </w:r>
      <w:r>
        <w:br/>
      </w:r>
      <w:r>
        <w:br/>
      </w:r>
      <w:r>
        <w:br/>
      </w:r>
    </w:p>
    <w:p>
      <w:pPr>
        <w:pStyle w:val="null3"/>
        <w:jc w:val="center"/>
        <w:outlineLvl w:val="2"/>
      </w:pPr>
      <w:r>
        <w:rPr>
          <w:rFonts w:ascii="仿宋_GB2312" w:hAnsi="仿宋_GB2312" w:cs="仿宋_GB2312" w:eastAsia="仿宋_GB2312"/>
          <w:sz w:val="28"/>
          <w:b/>
        </w:rPr>
        <w:t>渭南市防汛抗旱保障中心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渭南市防汛抗旱保障中心</w:t>
      </w:r>
      <w:r>
        <w:rPr>
          <w:rFonts w:ascii="仿宋_GB2312" w:hAnsi="仿宋_GB2312" w:cs="仿宋_GB2312" w:eastAsia="仿宋_GB2312"/>
        </w:rPr>
        <w:t>委托，拟对</w:t>
      </w:r>
      <w:r>
        <w:rPr>
          <w:rFonts w:ascii="仿宋_GB2312" w:hAnsi="仿宋_GB2312" w:cs="仿宋_GB2312" w:eastAsia="仿宋_GB2312"/>
        </w:rPr>
        <w:t>北洛河防汛视频监测项目(二次)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ZCSP-渭南市-2025-00769.1B1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北洛河防汛视频监测项目(二次)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拟对境内北洛河河道洪水、堤防工程、沿河村落及重要设施进行监测，实时捕捉汛情变化趋势，及时研判分析，实现灾害早期预警与精准撤离，提升风险发现的主动性和效率，确保人民群众生命财产安全。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1、法定代表人身份证明书/法定代表人授权书：法定代表人参与磋商时需提供法定代表人身份证明书；被授权人参与磋商时需提供法定代表人授权书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渭南市防汛抗旱保障中心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渭南市行政服务中心东配楼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吉重阳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代理服务费收费标准：本项目定额收取代理服务费：人民币捌仟伍佰元整（¥8500.00元）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渭南市防汛抗旱保障中心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渭南市防汛抗旱保障中心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渭南市防汛抗旱保障中心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拟对境内北洛河河道洪水、堤防工程、沿河村落及重要设施进行监测，实时捕捉汛情变化趋势，及时研判分析，实现灾害早期预警与精准撤离，提升风险发现的主动性和效率，确保人民群众生命财产安全。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北洛河防汛视频监测项目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标的名称：北洛河防汛视频监测项目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1、项目概况：拟对境内北洛河河道洪水、堤防工程、沿河村落及重要设施进行监测，实时捕捉汛情变化趋势，及时研判分析，实现灾害早期预警与精准撤离，提升风险发现的主动性和效率，确保人民群众生命财产安全。</w:t>
            </w:r>
          </w:p>
          <w:p>
            <w:pPr>
              <w:pStyle w:val="null3"/>
              <w:ind w:firstLine="643"/>
              <w:jc w:val="both"/>
            </w:pPr>
            <w:r>
              <w:rPr>
                <w:rFonts w:ascii="仿宋_GB2312" w:hAnsi="仿宋_GB2312" w:cs="仿宋_GB2312" w:eastAsia="仿宋_GB2312"/>
              </w:rPr>
              <w:t>重点监控场景涵盖北洛河流域白水至大荔段易受灾村庄、重点水源地、重要河道监测区域，共规划防汛监控点位7处，具体分布于白水县史官镇狄家河村、澄城县尧头镇曹村、蒲城洛滨镇前阿村、蒲城县洛滨镇龙首坝村、蒲城县孙镇北黎起村、大荔段家镇育红村（可监控到育红水源地）、大荔县段家镇雷宋村（西湾村易受灾村落）。</w:t>
            </w:r>
          </w:p>
          <w:p>
            <w:pPr>
              <w:pStyle w:val="null3"/>
              <w:ind w:firstLine="643"/>
              <w:jc w:val="both"/>
            </w:pPr>
            <w:r>
              <w:rPr>
                <w:rFonts w:ascii="仿宋_GB2312" w:hAnsi="仿宋_GB2312" w:cs="仿宋_GB2312" w:eastAsia="仿宋_GB2312"/>
              </w:rPr>
              <w:t>2、服务内容：</w:t>
            </w:r>
          </w:p>
          <w:p>
            <w:pPr>
              <w:pStyle w:val="null3"/>
              <w:ind w:firstLine="643"/>
              <w:jc w:val="both"/>
            </w:pPr>
            <w:r>
              <w:rPr>
                <w:rFonts w:ascii="仿宋_GB2312" w:hAnsi="仿宋_GB2312" w:cs="仿宋_GB2312" w:eastAsia="仿宋_GB2312"/>
              </w:rPr>
              <w:t>2.1智能监控</w:t>
            </w:r>
          </w:p>
          <w:p>
            <w:pPr>
              <w:pStyle w:val="null3"/>
              <w:ind w:firstLine="643"/>
              <w:jc w:val="both"/>
            </w:pPr>
            <w:r>
              <w:rPr>
                <w:rFonts w:ascii="仿宋_GB2312" w:hAnsi="仿宋_GB2312" w:cs="仿宋_GB2312" w:eastAsia="仿宋_GB2312"/>
              </w:rPr>
              <w:t>视频监控设备挂高30米以上，距离河道1公里以内，视野空旷的区域，对半径2㎞内的桥梁、村庄、水源地、电站、火车道等重点场景进行实时监控。</w:t>
            </w:r>
          </w:p>
          <w:p>
            <w:pPr>
              <w:pStyle w:val="null3"/>
              <w:ind w:firstLine="643"/>
              <w:jc w:val="both"/>
            </w:pPr>
            <w:r>
              <w:rPr>
                <w:rFonts w:ascii="仿宋_GB2312" w:hAnsi="仿宋_GB2312" w:cs="仿宋_GB2312" w:eastAsia="仿宋_GB2312"/>
              </w:rPr>
              <w:t>2.2配套服务</w:t>
            </w:r>
          </w:p>
          <w:p>
            <w:pPr>
              <w:pStyle w:val="null3"/>
              <w:ind w:firstLine="643"/>
              <w:jc w:val="both"/>
            </w:pPr>
            <w:r>
              <w:rPr>
                <w:rFonts w:ascii="仿宋_GB2312" w:hAnsi="仿宋_GB2312" w:cs="仿宋_GB2312" w:eastAsia="仿宋_GB2312"/>
              </w:rPr>
              <w:t>配套服务主要包括：网络传输系统、网络电力保障、系统融合、系统运维。</w:t>
            </w:r>
          </w:p>
          <w:p>
            <w:pPr>
              <w:pStyle w:val="null3"/>
              <w:ind w:firstLine="643"/>
              <w:jc w:val="both"/>
            </w:pPr>
            <w:r>
              <w:rPr>
                <w:rFonts w:ascii="仿宋_GB2312" w:hAnsi="仿宋_GB2312" w:cs="仿宋_GB2312" w:eastAsia="仿宋_GB2312"/>
              </w:rPr>
              <w:t>（1）网络传输系统：优先选择有线接入方式，端到端的网络带宽≥50M。</w:t>
            </w:r>
          </w:p>
          <w:p>
            <w:pPr>
              <w:pStyle w:val="null3"/>
              <w:ind w:firstLine="643"/>
              <w:jc w:val="both"/>
            </w:pPr>
            <w:r>
              <w:rPr>
                <w:rFonts w:ascii="仿宋_GB2312" w:hAnsi="仿宋_GB2312" w:cs="仿宋_GB2312" w:eastAsia="仿宋_GB2312"/>
              </w:rPr>
              <w:t>（2）网络电力保障：监控点位供电系统应采用市电引入加UPS方式建设，同时配备发电队伍，以应对突发情况。</w:t>
            </w:r>
          </w:p>
          <w:p>
            <w:pPr>
              <w:pStyle w:val="null3"/>
              <w:ind w:firstLine="643"/>
              <w:jc w:val="both"/>
            </w:pPr>
            <w:r>
              <w:rPr>
                <w:rFonts w:ascii="仿宋_GB2312" w:hAnsi="仿宋_GB2312" w:cs="仿宋_GB2312" w:eastAsia="仿宋_GB2312"/>
              </w:rPr>
              <w:t>（3）系统融合：新建的视频监测系统要能与已建视频监控平台或点位整合，并根据工作需要可向省、市、县应急和其他部门共享使用平台及具体点位，并为与已有的监测预警、指挥调度等平台深度融合提供接口和能力。</w:t>
            </w:r>
          </w:p>
          <w:p>
            <w:pPr>
              <w:pStyle w:val="null3"/>
              <w:ind w:firstLine="643"/>
              <w:jc w:val="both"/>
            </w:pPr>
            <w:r>
              <w:rPr>
                <w:rFonts w:ascii="仿宋_GB2312" w:hAnsi="仿宋_GB2312" w:cs="仿宋_GB2312" w:eastAsia="仿宋_GB2312"/>
              </w:rPr>
              <w:t>（4）系统运维：具体包含以下内容：</w:t>
            </w:r>
          </w:p>
          <w:p>
            <w:pPr>
              <w:pStyle w:val="null3"/>
              <w:ind w:firstLine="643"/>
              <w:jc w:val="both"/>
            </w:pPr>
            <w:r>
              <w:rPr>
                <w:rFonts w:ascii="仿宋_GB2312" w:hAnsi="仿宋_GB2312" w:cs="仿宋_GB2312" w:eastAsia="仿宋_GB2312"/>
              </w:rPr>
              <w:t>1）平台与软件运维</w:t>
            </w:r>
          </w:p>
          <w:p>
            <w:pPr>
              <w:pStyle w:val="null3"/>
              <w:ind w:firstLine="643"/>
              <w:jc w:val="both"/>
            </w:pPr>
            <w:r>
              <w:rPr>
                <w:rFonts w:ascii="仿宋_GB2312" w:hAnsi="仿宋_GB2312" w:cs="仿宋_GB2312" w:eastAsia="仿宋_GB2312"/>
              </w:rPr>
              <w:t>每日通过运维平台检查系统运行情况；定期查看系统日志、应用日志，排查错误告警和潜在风险；对重要的平台配置信息、用户数据、权限策略进行定期备份；在充分测试后，对平台软件、病毒库等进行安全更新和补丁安装。</w:t>
            </w:r>
          </w:p>
          <w:p>
            <w:pPr>
              <w:pStyle w:val="null3"/>
              <w:ind w:firstLine="643"/>
              <w:jc w:val="both"/>
            </w:pPr>
            <w:r>
              <w:rPr>
                <w:rFonts w:ascii="仿宋_GB2312" w:hAnsi="仿宋_GB2312" w:cs="仿宋_GB2312" w:eastAsia="仿宋_GB2312"/>
              </w:rPr>
              <w:t>2）设备运维</w:t>
            </w:r>
          </w:p>
          <w:p>
            <w:pPr>
              <w:pStyle w:val="null3"/>
              <w:ind w:firstLine="643"/>
              <w:jc w:val="both"/>
            </w:pPr>
            <w:r>
              <w:rPr>
                <w:rFonts w:ascii="仿宋_GB2312" w:hAnsi="仿宋_GB2312" w:cs="仿宋_GB2312" w:eastAsia="仿宋_GB2312"/>
              </w:rPr>
              <w:t>每日自动或人工远程巡检所有设备的在线情况，并记录离线设备；每周/每月通过AI诊断功能或人工抽查，检测图像是否存在雪花、模糊、偏色、亮度异常、信号丢失、遮挡、抖动等问题；定期测试监控设备的转动、变焦、聚焦功能是否正常。</w:t>
            </w:r>
          </w:p>
          <w:p>
            <w:pPr>
              <w:pStyle w:val="null3"/>
              <w:ind w:firstLine="643"/>
              <w:jc w:val="both"/>
            </w:pPr>
            <w:r>
              <w:rPr>
                <w:rFonts w:ascii="仿宋_GB2312" w:hAnsi="仿宋_GB2312" w:cs="仿宋_GB2312" w:eastAsia="仿宋_GB2312"/>
              </w:rPr>
              <w:t>3）现场定期巡检</w:t>
            </w:r>
          </w:p>
          <w:p>
            <w:pPr>
              <w:pStyle w:val="null3"/>
              <w:ind w:firstLine="643"/>
              <w:jc w:val="both"/>
            </w:pPr>
            <w:r>
              <w:rPr>
                <w:rFonts w:ascii="仿宋_GB2312" w:hAnsi="仿宋_GB2312" w:cs="仿宋_GB2312" w:eastAsia="仿宋_GB2312"/>
              </w:rPr>
              <w:t>对设备物理状态、供电状况、网络状况、周边环境等内容进行现场定期巡检。</w:t>
            </w:r>
          </w:p>
          <w:p>
            <w:pPr>
              <w:pStyle w:val="null3"/>
              <w:ind w:firstLine="643"/>
              <w:jc w:val="both"/>
            </w:pPr>
            <w:r>
              <w:rPr>
                <w:rFonts w:ascii="仿宋_GB2312" w:hAnsi="仿宋_GB2312" w:cs="仿宋_GB2312" w:eastAsia="仿宋_GB2312"/>
              </w:rPr>
              <w:t>4）运维团队</w:t>
            </w:r>
          </w:p>
          <w:p>
            <w:pPr>
              <w:pStyle w:val="null3"/>
              <w:ind w:firstLine="643"/>
              <w:jc w:val="both"/>
            </w:pPr>
            <w:r>
              <w:rPr>
                <w:rFonts w:ascii="仿宋_GB2312" w:hAnsi="仿宋_GB2312" w:cs="仿宋_GB2312" w:eastAsia="仿宋_GB2312"/>
              </w:rPr>
              <w:t>设立专职运维团队，实行7×24小时值班；建立常用备件库，确保故障时能快速更换；建立健全的运维手册、应急预案、标准作业程序；定期对运维人员进行新技术、新设备、安全操作的培训。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自交付使用验收合格之日起提供两年服务。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白水县、澄城县、蒲城县、大荔县。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行业、地方现行执行规范、规程、标准。（2）本项目由采购人定期按磋商文件、响应文件、项目实施方案等内容进行阶段性验收，包括合同签订后进行交付使用验收，汛前汛中进行验收，服务期满后履约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1、其他商务要求： 故障响应：当出现以下情况，运维人员须在2小时内到达现场，12小时内现场修复。 1）系统瘫痪; 2）设备无法正常工作，丧失相应功能; 3）系统仍能运行，但运行不稳定、不及时，图像卡顿、不清晰，部分功能响应慢等。 4）其他影响监控服务的情形。 因特殊天气或其它不可抗拒的因素，修复时间可以相应顺延，但需及时通知采购人。2、根据《政府采购法实施条例》释义，银行、保险、石油石化、电力、电信等有行业特殊情况的，允许法人的分支机构参加政府采购活动。3、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（1）项目需求理解； （2）项目整体管理方案； （3）进度计划及保障措施。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（1）监测平台搭建方案； （2）建设团队工作组织安排； （3）网络传输系统保障措施； （4）网络电力保障措施； （5）系统融合保障措施； （6）保密措施。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（1）平台与软件运维方案； （2）设备运维方案； （3）现场定期巡检方案； （4）运维团队工作组织安排； （5）运维人员培训计划。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（1）紧急或突发情况的应急保障方案； （2）应急人员安排计划； （3）应急设施设备安排计划。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经过有效性和符合性审核合格的供应商：商务要求每优于采购文件要求一项得1分，最高得3分。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供应商近三年（2022年9月至今）具有类似项目业绩，每个计1分，最多计5分。(业绩时间以合同签订日期为准，供应商须提供合同扫描件)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（1）运维团队需包括：平台运维人员、设备运维人员、应急供电人员、定期巡检人员，每人得0.5分，最多得6分。 （2）团队人员每具有一个中级职称得1分，高级职称得2分，最多得4分。 注：须提供证明材料，未提供得0分。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供应商配备：备用设备、应急供电设备、其他辅助设备，每配备一项设施设备得2分，最多得6分。（须提供证明材料，未提供得0分）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