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版本号：ZCSP-渭南市-2025-0077220251029001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渭南市机械制造行业重点企业“三类人员”工伤预防培训项目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ZCSP-渭南市-2025-00772</w:t>
      </w:r>
      <w:r>
        <w:br/>
      </w:r>
      <w:r>
        <w:br/>
      </w:r>
      <w:r>
        <w:br/>
      </w:r>
    </w:p>
    <w:p>
      <w:pPr>
        <w:pStyle w:val="null3"/>
        <w:jc w:val="center"/>
        <w:outlineLvl w:val="2"/>
      </w:pPr>
      <w:r>
        <w:rPr>
          <w:rFonts w:ascii="仿宋_GB2312" w:hAnsi="仿宋_GB2312" w:cs="仿宋_GB2312" w:eastAsia="仿宋_GB2312"/>
          <w:sz w:val="28"/>
          <w:b/>
        </w:rPr>
        <w:t>渭南市工伤保险经办中心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渭南市工伤保险经办中心</w:t>
      </w:r>
      <w:r>
        <w:rPr>
          <w:rFonts w:ascii="仿宋_GB2312" w:hAnsi="仿宋_GB2312" w:cs="仿宋_GB2312" w:eastAsia="仿宋_GB2312"/>
        </w:rPr>
        <w:t>委托，拟对</w:t>
      </w:r>
      <w:r>
        <w:rPr>
          <w:rFonts w:ascii="仿宋_GB2312" w:hAnsi="仿宋_GB2312" w:cs="仿宋_GB2312" w:eastAsia="仿宋_GB2312"/>
        </w:rPr>
        <w:t>渭南市机械制造行业重点企业“三类人员”工伤预防培训项目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渭南市机械制造行业重点企业“三类人员”工伤预防培训项目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渭南市机械制造行业重点企业“三类人员”工伤预防培训项目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采购包1（渭南市机械制造行业重点企业“三类人员”工伤预防培训项目）：属于专门面向中小企业采购。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供应商应授权合法的人员参加竞争性磋商的，其中法定代表人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参与政府采购活动前三年（2022.11-2025.11）内在经营活动中没有重大违法记录的书面声明；：供应商需在项目电子化交易系统中按要求上传参与政府采购活动前三年内在经营活动中没有重大违法记录的书面声明，并进行电子签章。</w:t>
      </w:r>
    </w:p>
    <w:p>
      <w:pPr>
        <w:pStyle w:val="null3"/>
      </w:pPr>
      <w:r>
        <w:rPr>
          <w:rFonts w:ascii="仿宋_GB2312" w:hAnsi="仿宋_GB2312" w:cs="仿宋_GB2312" w:eastAsia="仿宋_GB2312"/>
        </w:rPr>
        <w:t>4、供应商须提供竞争性磋商前一年（2024.11-2025.11）内任意一个月的完税证明（税种为增值税或企业所得税）及缴纳社会保险证明缴费种类至少包括养老保险。依法免税的、依法不需要缴纳社会保障资金的应提供相关文件证明；：供应商须提供竞争性磋商前一年（2024.11-2025.11）内任意一个月的完税证明（税种为增值税或企业所得税）及缴纳社会保险证明缴费种类至少包括养老保险。依法免税的、依法不需要缴纳社会保障资金的应提供相关文件证明；</w:t>
      </w:r>
    </w:p>
    <w:p>
      <w:pPr>
        <w:pStyle w:val="null3"/>
      </w:pPr>
      <w:r>
        <w:rPr>
          <w:rFonts w:ascii="仿宋_GB2312" w:hAnsi="仿宋_GB2312" w:cs="仿宋_GB2312" w:eastAsia="仿宋_GB2312"/>
        </w:rPr>
        <w:t>5、供应商须提供具有财务审计资质单位出具的2024年度财务报告或开标前六个月内其基本账户银行出具的资信证明。成立时间至提交首次响应文件截止时间不足一年的可提供成立后任意时段的资产负债表；：供应商需在项目电子化交易系统中按要求上传2024年度财务报告或开标前六个月内其基本账户银行出具的资信证明，成立时间至提交首次响应文件截止时间不足一年的可提供成立后任意时段的资产负债表；并进行电子签章.</w:t>
      </w:r>
    </w:p>
    <w:p>
      <w:pPr>
        <w:pStyle w:val="null3"/>
      </w:pPr>
      <w:r>
        <w:rPr>
          <w:rFonts w:ascii="仿宋_GB2312" w:hAnsi="仿宋_GB2312" w:cs="仿宋_GB2312" w:eastAsia="仿宋_GB2312"/>
        </w:rPr>
        <w:t>6、信用记录：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p>
      <w:pPr>
        <w:pStyle w:val="null3"/>
      </w:pPr>
      <w:r>
        <w:rPr>
          <w:rFonts w:ascii="仿宋_GB2312" w:hAnsi="仿宋_GB2312" w:cs="仿宋_GB2312" w:eastAsia="仿宋_GB2312"/>
        </w:rPr>
        <w:t>7、本项目不接受联合体投标，不允许分包。投标人应提供《非联合体不分包投标声明》，视为独立投标，不分包。：供应商需在项目电子化交易系统中按要求上传《非联合体不分包投标声明》并进行电子签章。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渭南市工伤保险经办中心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渭南市工伤保险经办中心经办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18409166039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渭南市工伤保险经办中心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渭南市工伤保险经办中心</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渭南市工伤保险经办中心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按照采购文件要求及中标人的投标文件应答进行验收，在不改变采购文件实质性要求的基础上，如有不一致的以双方共同确认的为准。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渭南市工伤保险经办中心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联系人：渭南市工伤保险经办中心</w:t>
      </w:r>
    </w:p>
    <w:p>
      <w:pPr>
        <w:pStyle w:val="null3"/>
      </w:pPr>
      <w:r>
        <w:rPr>
          <w:rFonts w:ascii="仿宋_GB2312" w:hAnsi="仿宋_GB2312" w:cs="仿宋_GB2312" w:eastAsia="仿宋_GB2312"/>
        </w:rPr>
        <w:t>联系电话：18409166039</w:t>
      </w:r>
    </w:p>
    <w:p>
      <w:pPr>
        <w:pStyle w:val="null3"/>
      </w:pPr>
      <w:r>
        <w:rPr>
          <w:rFonts w:ascii="仿宋_GB2312" w:hAnsi="仿宋_GB2312" w:cs="仿宋_GB2312" w:eastAsia="仿宋_GB2312"/>
        </w:rPr>
        <w:t>地址：车雷大街69号</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联系人：渭南市政府采购中心</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地址：渭南市临渭区朝阳大街中银大厦1104</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通过公开采购引入第三方培训机构对我市116户企业413人开展工伤预防培训。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720,600.00</w:t>
      </w:r>
    </w:p>
    <w:p>
      <w:pPr>
        <w:pStyle w:val="null3"/>
      </w:pPr>
      <w:r>
        <w:rPr>
          <w:rFonts w:ascii="仿宋_GB2312" w:hAnsi="仿宋_GB2312" w:cs="仿宋_GB2312" w:eastAsia="仿宋_GB2312"/>
        </w:rPr>
        <w:t>采购包最高限价（元）: 720,600.00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渭南市</w:t>
            </w:r>
            <w:r>
              <w:rPr>
                <w:rFonts w:ascii="仿宋_GB2312" w:hAnsi="仿宋_GB2312" w:cs="仿宋_GB2312" w:eastAsia="仿宋_GB2312"/>
                <w:sz w:val="32"/>
              </w:rPr>
              <w:t>机械制造</w:t>
            </w:r>
            <w:r>
              <w:rPr>
                <w:rFonts w:ascii="仿宋_GB2312" w:hAnsi="仿宋_GB2312" w:cs="仿宋_GB2312" w:eastAsia="仿宋_GB2312"/>
                <w:sz w:val="32"/>
              </w:rPr>
              <w:t>行业</w:t>
            </w:r>
            <w:r>
              <w:rPr>
                <w:rFonts w:ascii="仿宋_GB2312" w:hAnsi="仿宋_GB2312" w:cs="仿宋_GB2312" w:eastAsia="仿宋_GB2312"/>
                <w:sz w:val="32"/>
              </w:rPr>
              <w:t>重点企业“三类人员”工伤预防培训项目</w:t>
            </w:r>
          </w:p>
          <w:p>
            <w:pPr>
              <w:pStyle w:val="null3"/>
              <w:ind w:firstLine="640"/>
              <w:jc w:val="both"/>
            </w:pPr>
            <w:r>
              <w:rPr>
                <w:rFonts w:ascii="仿宋_GB2312" w:hAnsi="仿宋_GB2312" w:cs="仿宋_GB2312" w:eastAsia="仿宋_GB2312"/>
                <w:sz w:val="32"/>
              </w:rPr>
              <w:t>（一）培训目标要求：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提升</w:t>
            </w:r>
            <w:r>
              <w:rPr>
                <w:rFonts w:ascii="仿宋_GB2312" w:hAnsi="仿宋_GB2312" w:cs="仿宋_GB2312" w:eastAsia="仿宋_GB2312"/>
                <w:sz w:val="32"/>
              </w:rPr>
              <w:t>企业</w:t>
            </w:r>
            <w:r>
              <w:rPr>
                <w:rFonts w:ascii="仿宋_GB2312" w:hAnsi="仿宋_GB2312" w:cs="仿宋_GB2312" w:eastAsia="仿宋_GB2312"/>
                <w:sz w:val="32"/>
              </w:rPr>
              <w:t>安全生产组织领导能力</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提升</w:t>
            </w:r>
            <w:r>
              <w:rPr>
                <w:rFonts w:ascii="仿宋_GB2312" w:hAnsi="仿宋_GB2312" w:cs="仿宋_GB2312" w:eastAsia="仿宋_GB2312"/>
                <w:sz w:val="32"/>
              </w:rPr>
              <w:t>企业</w:t>
            </w:r>
            <w:r>
              <w:rPr>
                <w:rFonts w:ascii="仿宋_GB2312" w:hAnsi="仿宋_GB2312" w:cs="仿宋_GB2312" w:eastAsia="仿宋_GB2312"/>
                <w:sz w:val="32"/>
              </w:rPr>
              <w:t>专业安全管理和安全风险评估管控工具使用能力</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提升</w:t>
            </w:r>
            <w:r>
              <w:rPr>
                <w:rFonts w:ascii="仿宋_GB2312" w:hAnsi="仿宋_GB2312" w:cs="仿宋_GB2312" w:eastAsia="仿宋_GB2312"/>
                <w:sz w:val="32"/>
              </w:rPr>
              <w:t>企业</w:t>
            </w:r>
            <w:r>
              <w:rPr>
                <w:rFonts w:ascii="仿宋_GB2312" w:hAnsi="仿宋_GB2312" w:cs="仿宋_GB2312" w:eastAsia="仿宋_GB2312"/>
                <w:sz w:val="32"/>
              </w:rPr>
              <w:t>现场安全管理、风险排查管控、异常和故障处理以及现场应急处置能力</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（二）培训方式要求</w:t>
            </w:r>
          </w:p>
          <w:p>
            <w:pPr>
              <w:pStyle w:val="null3"/>
              <w:ind w:firstLine="640"/>
              <w:jc w:val="both"/>
            </w:pPr>
            <w:r>
              <w:rPr>
                <w:rFonts w:ascii="仿宋_GB2312" w:hAnsi="仿宋_GB2312" w:cs="仿宋_GB2312" w:eastAsia="仿宋_GB2312"/>
                <w:sz w:val="32"/>
              </w:rPr>
              <w:t>线上培训使用专业培训平台，实行实名制管理，</w:t>
            </w:r>
            <w:r>
              <w:rPr>
                <w:rFonts w:ascii="仿宋_GB2312" w:hAnsi="仿宋_GB2312" w:cs="仿宋_GB2312" w:eastAsia="仿宋_GB2312"/>
                <w:sz w:val="32"/>
                <w:color w:val="121212"/>
              </w:rPr>
              <w:t>线下</w:t>
            </w:r>
            <w:r>
              <w:rPr>
                <w:rFonts w:ascii="仿宋_GB2312" w:hAnsi="仿宋_GB2312" w:cs="仿宋_GB2312" w:eastAsia="仿宋_GB2312"/>
                <w:sz w:val="32"/>
                <w:color w:val="121212"/>
              </w:rPr>
              <w:t>分批次培训，按照中省要求</w:t>
            </w:r>
            <w:r>
              <w:rPr>
                <w:rFonts w:ascii="仿宋_GB2312" w:hAnsi="仿宋_GB2312" w:cs="仿宋_GB2312" w:eastAsia="仿宋_GB2312"/>
                <w:sz w:val="32"/>
                <w:color w:val="121212"/>
              </w:rPr>
              <w:t>严格控制每个培训班人数，安全生产分管负责人线下培训原则上实行不超过</w:t>
            </w:r>
            <w:r>
              <w:rPr>
                <w:rFonts w:ascii="仿宋_GB2312" w:hAnsi="仿宋_GB2312" w:cs="仿宋_GB2312" w:eastAsia="仿宋_GB2312"/>
                <w:sz w:val="32"/>
                <w:color w:val="121212"/>
              </w:rPr>
              <w:t>40人的小班互动教学，专职安全管理人员和班组长线下培训一般不超过80人</w:t>
            </w:r>
            <w:r>
              <w:rPr>
                <w:rFonts w:ascii="仿宋_GB2312" w:hAnsi="仿宋_GB2312" w:cs="仿宋_GB2312" w:eastAsia="仿宋_GB2312"/>
                <w:sz w:val="32"/>
                <w:color w:val="121212"/>
              </w:rPr>
              <w:t>，</w:t>
            </w:r>
            <w:r>
              <w:rPr>
                <w:rFonts w:ascii="仿宋_GB2312" w:hAnsi="仿宋_GB2312" w:cs="仿宋_GB2312" w:eastAsia="仿宋_GB2312"/>
                <w:sz w:val="32"/>
              </w:rPr>
              <w:t>线下培训要求专家到场授课，实训类课程要做好必要的防护，确保参训人员全部安全、顺利完成实际操作，达到实训效果，配备专业的练习题库</w:t>
            </w:r>
            <w:r>
              <w:rPr>
                <w:rFonts w:ascii="仿宋_GB2312" w:hAnsi="仿宋_GB2312" w:cs="仿宋_GB2312" w:eastAsia="仿宋_GB2312"/>
                <w:sz w:val="32"/>
                <w:color w:val="121212"/>
              </w:rPr>
              <w:t>，</w:t>
            </w:r>
            <w:r>
              <w:rPr>
                <w:rFonts w:ascii="仿宋_GB2312" w:hAnsi="仿宋_GB2312" w:cs="仿宋_GB2312" w:eastAsia="仿宋_GB2312"/>
                <w:sz w:val="32"/>
              </w:rPr>
              <w:t>培训结束后按照培考分离原则</w:t>
            </w:r>
            <w:r>
              <w:rPr>
                <w:rFonts w:ascii="仿宋_GB2312" w:hAnsi="仿宋_GB2312" w:cs="仿宋_GB2312" w:eastAsia="仿宋_GB2312"/>
                <w:sz w:val="32"/>
              </w:rPr>
              <w:t>进行闭卷考试，所有参训人员均要达到考试合格要求。</w:t>
            </w:r>
          </w:p>
          <w:p>
            <w:pPr>
              <w:pStyle w:val="null3"/>
              <w:ind w:firstLine="640"/>
              <w:jc w:val="both"/>
            </w:pPr>
            <w:r>
              <w:rPr>
                <w:rFonts w:ascii="仿宋_GB2312" w:hAnsi="仿宋_GB2312" w:cs="仿宋_GB2312" w:eastAsia="仿宋_GB2312"/>
                <w:sz w:val="32"/>
              </w:rPr>
              <w:t>（三）培训时长</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安全生产分管负责人培训</w:t>
            </w:r>
            <w:r>
              <w:rPr>
                <w:rFonts w:ascii="仿宋_GB2312" w:hAnsi="仿宋_GB2312" w:cs="仿宋_GB2312" w:eastAsia="仿宋_GB2312"/>
                <w:sz w:val="32"/>
              </w:rPr>
              <w:t>总时长</w:t>
            </w:r>
            <w:r>
              <w:rPr>
                <w:rFonts w:ascii="仿宋_GB2312" w:hAnsi="仿宋_GB2312" w:cs="仿宋_GB2312" w:eastAsia="仿宋_GB2312"/>
                <w:sz w:val="32"/>
              </w:rPr>
              <w:t>24</w:t>
            </w:r>
            <w:r>
              <w:rPr>
                <w:rFonts w:ascii="仿宋_GB2312" w:hAnsi="仿宋_GB2312" w:cs="仿宋_GB2312" w:eastAsia="仿宋_GB2312"/>
                <w:sz w:val="32"/>
              </w:rPr>
              <w:t>学时，</w:t>
            </w:r>
            <w:r>
              <w:rPr>
                <w:rFonts w:ascii="仿宋_GB2312" w:hAnsi="仿宋_GB2312" w:cs="仿宋_GB2312" w:eastAsia="仿宋_GB2312"/>
                <w:sz w:val="32"/>
              </w:rPr>
              <w:t>其中线上培训</w:t>
            </w:r>
            <w:r>
              <w:rPr>
                <w:rFonts w:ascii="仿宋_GB2312" w:hAnsi="仿宋_GB2312" w:cs="仿宋_GB2312" w:eastAsia="仿宋_GB2312"/>
                <w:sz w:val="32"/>
              </w:rPr>
              <w:t>9学时，</w:t>
            </w:r>
            <w:r>
              <w:rPr>
                <w:rFonts w:ascii="仿宋_GB2312" w:hAnsi="仿宋_GB2312" w:cs="仿宋_GB2312" w:eastAsia="仿宋_GB2312"/>
                <w:sz w:val="32"/>
              </w:rPr>
              <w:t>线下培训</w:t>
            </w:r>
            <w:r>
              <w:rPr>
                <w:rFonts w:ascii="仿宋_GB2312" w:hAnsi="仿宋_GB2312" w:cs="仿宋_GB2312" w:eastAsia="仿宋_GB2312"/>
                <w:sz w:val="32"/>
              </w:rPr>
              <w:t>15</w:t>
            </w:r>
            <w:r>
              <w:rPr>
                <w:rFonts w:ascii="仿宋_GB2312" w:hAnsi="仿宋_GB2312" w:cs="仿宋_GB2312" w:eastAsia="仿宋_GB2312"/>
                <w:sz w:val="32"/>
              </w:rPr>
              <w:t>学时</w:t>
            </w:r>
            <w:r>
              <w:rPr>
                <w:rFonts w:ascii="仿宋_GB2312" w:hAnsi="仿宋_GB2312" w:cs="仿宋_GB2312" w:eastAsia="仿宋_GB2312"/>
                <w:sz w:val="32"/>
              </w:rPr>
              <w:t>；</w:t>
            </w:r>
            <w:r>
              <w:rPr>
                <w:rFonts w:ascii="仿宋_GB2312" w:hAnsi="仿宋_GB2312" w:cs="仿宋_GB2312" w:eastAsia="仿宋_GB2312"/>
                <w:sz w:val="32"/>
              </w:rPr>
              <w:t>专职安全管理人员培训</w:t>
            </w:r>
            <w:r>
              <w:rPr>
                <w:rFonts w:ascii="仿宋_GB2312" w:hAnsi="仿宋_GB2312" w:cs="仿宋_GB2312" w:eastAsia="仿宋_GB2312"/>
                <w:sz w:val="32"/>
              </w:rPr>
              <w:t>总时长</w:t>
            </w:r>
            <w:r>
              <w:rPr>
                <w:rFonts w:ascii="仿宋_GB2312" w:hAnsi="仿宋_GB2312" w:cs="仿宋_GB2312" w:eastAsia="仿宋_GB2312"/>
                <w:sz w:val="32"/>
              </w:rPr>
              <w:t>24学时，其中</w:t>
            </w:r>
            <w:r>
              <w:rPr>
                <w:rFonts w:ascii="仿宋_GB2312" w:hAnsi="仿宋_GB2312" w:cs="仿宋_GB2312" w:eastAsia="仿宋_GB2312"/>
                <w:sz w:val="32"/>
              </w:rPr>
              <w:t>其中线上培训</w:t>
            </w:r>
            <w:r>
              <w:rPr>
                <w:rFonts w:ascii="仿宋_GB2312" w:hAnsi="仿宋_GB2312" w:cs="仿宋_GB2312" w:eastAsia="仿宋_GB2312"/>
                <w:sz w:val="32"/>
              </w:rPr>
              <w:t>9学时，线下培训15学时</w:t>
            </w:r>
            <w:r>
              <w:rPr>
                <w:rFonts w:ascii="仿宋_GB2312" w:hAnsi="仿宋_GB2312" w:cs="仿宋_GB2312" w:eastAsia="仿宋_GB2312"/>
                <w:sz w:val="32"/>
              </w:rPr>
              <w:t>；</w:t>
            </w:r>
            <w:r>
              <w:rPr>
                <w:rFonts w:ascii="仿宋_GB2312" w:hAnsi="仿宋_GB2312" w:cs="仿宋_GB2312" w:eastAsia="仿宋_GB2312"/>
                <w:sz w:val="32"/>
              </w:rPr>
              <w:t>一线班组长培训</w:t>
            </w:r>
            <w:r>
              <w:rPr>
                <w:rFonts w:ascii="仿宋_GB2312" w:hAnsi="仿宋_GB2312" w:cs="仿宋_GB2312" w:eastAsia="仿宋_GB2312"/>
                <w:sz w:val="32"/>
              </w:rPr>
              <w:t>总时长</w:t>
            </w:r>
            <w:r>
              <w:rPr>
                <w:rFonts w:ascii="仿宋_GB2312" w:hAnsi="仿宋_GB2312" w:cs="仿宋_GB2312" w:eastAsia="仿宋_GB2312"/>
                <w:sz w:val="32"/>
              </w:rPr>
              <w:t>46</w:t>
            </w:r>
            <w:r>
              <w:rPr>
                <w:rFonts w:ascii="仿宋_GB2312" w:hAnsi="仿宋_GB2312" w:cs="仿宋_GB2312" w:eastAsia="仿宋_GB2312"/>
                <w:sz w:val="32"/>
              </w:rPr>
              <w:t>学时，其中</w:t>
            </w:r>
            <w:r>
              <w:rPr>
                <w:rFonts w:ascii="仿宋_GB2312" w:hAnsi="仿宋_GB2312" w:cs="仿宋_GB2312" w:eastAsia="仿宋_GB2312"/>
                <w:sz w:val="32"/>
              </w:rPr>
              <w:t>线上培训</w:t>
            </w:r>
            <w:r>
              <w:rPr>
                <w:rFonts w:ascii="仿宋_GB2312" w:hAnsi="仿宋_GB2312" w:cs="仿宋_GB2312" w:eastAsia="仿宋_GB2312"/>
                <w:sz w:val="32"/>
              </w:rPr>
              <w:t>18学时</w:t>
            </w:r>
            <w:r>
              <w:rPr>
                <w:rFonts w:ascii="仿宋_GB2312" w:hAnsi="仿宋_GB2312" w:cs="仿宋_GB2312" w:eastAsia="仿宋_GB2312"/>
                <w:sz w:val="32"/>
              </w:rPr>
              <w:t>，线下培训</w:t>
            </w:r>
            <w:r>
              <w:rPr>
                <w:rFonts w:ascii="仿宋_GB2312" w:hAnsi="仿宋_GB2312" w:cs="仿宋_GB2312" w:eastAsia="仿宋_GB2312"/>
                <w:sz w:val="32"/>
              </w:rPr>
              <w:t>28</w:t>
            </w:r>
            <w:r>
              <w:rPr>
                <w:rFonts w:ascii="仿宋_GB2312" w:hAnsi="仿宋_GB2312" w:cs="仿宋_GB2312" w:eastAsia="仿宋_GB2312"/>
                <w:sz w:val="32"/>
              </w:rPr>
              <w:t>学时</w:t>
            </w:r>
            <w:r>
              <w:rPr>
                <w:rFonts w:ascii="仿宋_GB2312" w:hAnsi="仿宋_GB2312" w:cs="仿宋_GB2312" w:eastAsia="仿宋_GB2312"/>
                <w:sz w:val="32"/>
              </w:rPr>
              <w:t>（含</w:t>
            </w:r>
            <w:r>
              <w:rPr>
                <w:rFonts w:ascii="仿宋_GB2312" w:hAnsi="仿宋_GB2312" w:cs="仿宋_GB2312" w:eastAsia="仿宋_GB2312"/>
                <w:sz w:val="32"/>
              </w:rPr>
              <w:t>实训类课程</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学时</w:t>
            </w:r>
            <w:r>
              <w:rPr>
                <w:rFonts w:ascii="仿宋_GB2312" w:hAnsi="仿宋_GB2312" w:cs="仿宋_GB2312" w:eastAsia="仿宋_GB2312"/>
                <w:sz w:val="32"/>
              </w:rPr>
              <w:t>）</w:t>
            </w:r>
            <w:r>
              <w:rPr>
                <w:rFonts w:ascii="仿宋_GB2312" w:hAnsi="仿宋_GB2312" w:cs="仿宋_GB2312" w:eastAsia="仿宋_GB2312"/>
                <w:sz w:val="32"/>
              </w:rPr>
              <w:t>。</w:t>
            </w:r>
          </w:p>
          <w:p>
            <w:pPr>
              <w:pStyle w:val="null3"/>
              <w:numPr>
                <w:ilvl w:val="0"/>
                <w:numId w:val="1"/>
              </w:numPr>
              <w:jc w:val="left"/>
            </w:pPr>
            <w:r>
              <w:rPr>
                <w:rFonts w:ascii="仿宋_GB2312" w:hAnsi="仿宋_GB2312" w:cs="仿宋_GB2312" w:eastAsia="仿宋_GB2312"/>
                <w:sz w:val="32"/>
              </w:rPr>
              <w:t>培训课程内容及时长要求：参考省厅大纲</w:t>
            </w:r>
          </w:p>
          <w:p>
            <w:pPr>
              <w:pStyle w:val="null3"/>
              <w:ind w:firstLine="643"/>
              <w:jc w:val="left"/>
            </w:pPr>
            <w:r>
              <w:rPr>
                <w:rFonts w:ascii="仿宋_GB2312" w:hAnsi="仿宋_GB2312" w:cs="仿宋_GB2312" w:eastAsia="仿宋_GB2312"/>
                <w:sz w:val="32"/>
                <w:b/>
              </w:rPr>
              <w:t>1. 安全生产分管负责人</w:t>
            </w:r>
          </w:p>
          <w:tbl>
            <w:tblPr>
              <w:tblBorders>
                <w:top w:val="none" w:color="000000" w:sz="4"/>
                <w:left w:val="none" w:color="000000" w:sz="4"/>
                <w:bottom w:val="none" w:color="000000" w:sz="4"/>
                <w:right w:val="none" w:color="000000" w:sz="4"/>
                <w:insideH w:val="none"/>
                <w:insideV w:val="none"/>
              </w:tblBorders>
            </w:tblPr>
            <w:tblGrid>
              <w:gridCol w:w="210"/>
              <w:gridCol w:w="1584"/>
              <w:gridCol w:w="459"/>
              <w:gridCol w:w="294"/>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序号</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培训内容</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学时（小时）</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备</w:t>
                  </w:r>
                  <w:r>
                    <w:rPr>
                      <w:rFonts w:ascii="仿宋_GB2312" w:hAnsi="仿宋_GB2312" w:cs="仿宋_GB2312" w:eastAsia="仿宋_GB2312"/>
                      <w:sz w:val="30"/>
                      <w:b/>
                    </w:rPr>
                    <w:t xml:space="preserve">  </w:t>
                  </w:r>
                  <w:r>
                    <w:rPr>
                      <w:rFonts w:ascii="仿宋_GB2312" w:hAnsi="仿宋_GB2312" w:cs="仿宋_GB2312" w:eastAsia="仿宋_GB2312"/>
                      <w:sz w:val="30"/>
                      <w:b/>
                    </w:rPr>
                    <w:t>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安全生产相关法律法规及政策</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线上</w:t>
                  </w:r>
                </w:p>
                <w:p>
                  <w:pPr>
                    <w:pStyle w:val="null3"/>
                    <w:jc w:val="center"/>
                  </w:pPr>
                  <w:r>
                    <w:rPr>
                      <w:rFonts w:ascii="仿宋_GB2312" w:hAnsi="仿宋_GB2312" w:cs="仿宋_GB2312" w:eastAsia="仿宋_GB2312"/>
                      <w:sz w:val="30"/>
                    </w:rPr>
                    <w:t>培训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安全领导力</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重大风险管控</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职业危害及预防</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事故、事件管理</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应急管理</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机械制造企业工伤事故形势及典型事故案例</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国内外先进管理理论和方法</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工伤保险和工伤预防政策的相关内容</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安全生产相关法律法规及政策</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线下</w:t>
                  </w:r>
                </w:p>
                <w:p>
                  <w:pPr>
                    <w:pStyle w:val="null3"/>
                    <w:jc w:val="center"/>
                  </w:pPr>
                  <w:r>
                    <w:rPr>
                      <w:rFonts w:ascii="仿宋_GB2312" w:hAnsi="仿宋_GB2312" w:cs="仿宋_GB2312" w:eastAsia="仿宋_GB2312"/>
                      <w:sz w:val="30"/>
                    </w:rPr>
                    <w:t>培训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安全领导力</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重大风险管控</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职业危害及预防</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事故、事件管理</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应急管理</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机械制造企业工伤事故形势及典型事故案例</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国内外先进管理理论和方法</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工伤保险和工伤预防政策的相关内容</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4"/>
                  <w:vMerge/>
                  <w:tcBorders>
                    <w:top w:val="none" w:color="000000" w:sz="4"/>
                    <w:left w:val="single" w:color="000000" w:sz="4"/>
                    <w:bottom w:val="single" w:color="000000" w:sz="4"/>
                    <w:right w:val="single" w:color="000000" w:sz="4"/>
                  </w:tcBorders>
                </w:tcPr>
                <w:p/>
              </w:tc>
            </w:tr>
            <w:tr>
              <w:tc>
                <w:tcPr>
                  <w:tcW w:type="dxa" w:w="17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合</w:t>
                  </w:r>
                  <w:r>
                    <w:rPr>
                      <w:rFonts w:ascii="仿宋_GB2312" w:hAnsi="仿宋_GB2312" w:cs="仿宋_GB2312" w:eastAsia="仿宋_GB2312"/>
                      <w:sz w:val="30"/>
                    </w:rPr>
                    <w:t xml:space="preserve">  </w:t>
                  </w:r>
                  <w:r>
                    <w:rPr>
                      <w:rFonts w:ascii="仿宋_GB2312" w:hAnsi="仿宋_GB2312" w:cs="仿宋_GB2312" w:eastAsia="仿宋_GB2312"/>
                      <w:sz w:val="30"/>
                    </w:rPr>
                    <w:t>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24</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2. 专职安全管理人员</w:t>
            </w:r>
          </w:p>
          <w:tbl>
            <w:tblPr>
              <w:tblBorders>
                <w:top w:val="none" w:color="000000" w:sz="4"/>
                <w:left w:val="none" w:color="000000" w:sz="4"/>
                <w:bottom w:val="none" w:color="000000" w:sz="4"/>
                <w:right w:val="none" w:color="000000" w:sz="4"/>
                <w:insideH w:val="none"/>
                <w:insideV w:val="none"/>
              </w:tblBorders>
            </w:tblPr>
            <w:tblGrid>
              <w:gridCol w:w="215"/>
              <w:gridCol w:w="1580"/>
              <w:gridCol w:w="461"/>
              <w:gridCol w:w="292"/>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序号</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培训内容</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学时（小时）</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备</w:t>
                  </w:r>
                  <w:r>
                    <w:rPr>
                      <w:rFonts w:ascii="仿宋_GB2312" w:hAnsi="仿宋_GB2312" w:cs="仿宋_GB2312" w:eastAsia="仿宋_GB2312"/>
                      <w:sz w:val="30"/>
                      <w:b/>
                    </w:rPr>
                    <w:t xml:space="preserve">  </w:t>
                  </w:r>
                  <w:r>
                    <w:rPr>
                      <w:rFonts w:ascii="仿宋_GB2312" w:hAnsi="仿宋_GB2312" w:cs="仿宋_GB2312" w:eastAsia="仿宋_GB2312"/>
                      <w:sz w:val="30"/>
                      <w:b/>
                    </w:rPr>
                    <w:t>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安全生产相关法律法规及政策</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线上</w:t>
                  </w:r>
                </w:p>
                <w:p>
                  <w:pPr>
                    <w:pStyle w:val="null3"/>
                    <w:jc w:val="center"/>
                  </w:pPr>
                  <w:r>
                    <w:rPr>
                      <w:rFonts w:ascii="仿宋_GB2312" w:hAnsi="仿宋_GB2312" w:cs="仿宋_GB2312" w:eastAsia="仿宋_GB2312"/>
                      <w:sz w:val="30"/>
                    </w:rPr>
                    <w:t>培训</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安全生产技术</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职业危害及防护知识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应急管理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机械制造企业工伤事故形势及典型事故案例</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国内外有关先进管理理论和方法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工伤保险和工伤预防政策相关内容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安全生产相关法律法规及政策</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线下</w:t>
                  </w:r>
                </w:p>
                <w:p>
                  <w:pPr>
                    <w:pStyle w:val="null3"/>
                    <w:jc w:val="center"/>
                  </w:pPr>
                  <w:r>
                    <w:rPr>
                      <w:rFonts w:ascii="仿宋_GB2312" w:hAnsi="仿宋_GB2312" w:cs="仿宋_GB2312" w:eastAsia="仿宋_GB2312"/>
                      <w:sz w:val="30"/>
                    </w:rPr>
                    <w:t>培训</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安全生产技术</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职业危害及防护知识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应急管理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事故管理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机械制造企业工伤事故形势及典型事故案例</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国内外有关先进管理理论和方法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工伤保险和工伤预防政策相关内容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2"/>
                  <w:vMerge/>
                  <w:tcBorders>
                    <w:top w:val="none" w:color="000000" w:sz="4"/>
                    <w:left w:val="single" w:color="000000" w:sz="4"/>
                    <w:bottom w:val="single" w:color="000000" w:sz="4"/>
                    <w:right w:val="single" w:color="000000" w:sz="4"/>
                  </w:tcBorders>
                </w:tcPr>
                <w:p/>
              </w:tc>
            </w:tr>
            <w:tr>
              <w:tc>
                <w:tcPr>
                  <w:tcW w:type="dxa" w:w="17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合</w:t>
                  </w:r>
                  <w:r>
                    <w:rPr>
                      <w:rFonts w:ascii="仿宋_GB2312" w:hAnsi="仿宋_GB2312" w:cs="仿宋_GB2312" w:eastAsia="仿宋_GB2312"/>
                      <w:sz w:val="30"/>
                    </w:rPr>
                    <w:t xml:space="preserve">  </w:t>
                  </w:r>
                  <w:r>
                    <w:rPr>
                      <w:rFonts w:ascii="仿宋_GB2312" w:hAnsi="仿宋_GB2312" w:cs="仿宋_GB2312" w:eastAsia="仿宋_GB2312"/>
                      <w:sz w:val="30"/>
                    </w:rPr>
                    <w:t>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3.班组长</w:t>
            </w:r>
            <w:r>
              <w:rPr>
                <w:rFonts w:ascii="仿宋_GB2312" w:hAnsi="仿宋_GB2312" w:cs="仿宋_GB2312" w:eastAsia="仿宋_GB2312"/>
                <w:sz w:val="32"/>
                <w:b/>
              </w:rPr>
              <w:t>（含</w:t>
            </w:r>
            <w:r>
              <w:rPr>
                <w:rFonts w:ascii="仿宋_GB2312" w:hAnsi="仿宋_GB2312" w:cs="仿宋_GB2312" w:eastAsia="仿宋_GB2312"/>
                <w:sz w:val="32"/>
                <w:b/>
              </w:rPr>
              <w:t>车间主任</w:t>
            </w:r>
            <w:r>
              <w:rPr>
                <w:rFonts w:ascii="仿宋_GB2312" w:hAnsi="仿宋_GB2312" w:cs="仿宋_GB2312" w:eastAsia="仿宋_GB2312"/>
                <w:sz w:val="32"/>
                <w:b/>
              </w:rPr>
              <w:t>）</w:t>
            </w:r>
          </w:p>
          <w:tbl>
            <w:tblPr>
              <w:tblBorders>
                <w:top w:val="none" w:color="000000" w:sz="4"/>
                <w:left w:val="none" w:color="000000" w:sz="4"/>
                <w:bottom w:val="none" w:color="000000" w:sz="4"/>
                <w:right w:val="none" w:color="000000" w:sz="4"/>
                <w:insideH w:val="none"/>
                <w:insideV w:val="none"/>
              </w:tblBorders>
            </w:tblPr>
            <w:tblGrid>
              <w:gridCol w:w="215"/>
              <w:gridCol w:w="1580"/>
              <w:gridCol w:w="461"/>
              <w:gridCol w:w="296"/>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序号</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培训内容</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学时（小时）</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备</w:t>
                  </w:r>
                  <w:r>
                    <w:rPr>
                      <w:rFonts w:ascii="仿宋_GB2312" w:hAnsi="仿宋_GB2312" w:cs="仿宋_GB2312" w:eastAsia="仿宋_GB2312"/>
                      <w:sz w:val="30"/>
                      <w:b/>
                    </w:rPr>
                    <w:t xml:space="preserve">  </w:t>
                  </w:r>
                  <w:r>
                    <w:rPr>
                      <w:rFonts w:ascii="仿宋_GB2312" w:hAnsi="仿宋_GB2312" w:cs="仿宋_GB2312" w:eastAsia="仿宋_GB2312"/>
                      <w:sz w:val="30"/>
                      <w:b/>
                    </w:rPr>
                    <w:t>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安全生产法律法规基本知识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线上</w:t>
                  </w:r>
                </w:p>
                <w:p>
                  <w:pPr>
                    <w:pStyle w:val="null3"/>
                    <w:jc w:val="center"/>
                  </w:pPr>
                  <w:r>
                    <w:rPr>
                      <w:rFonts w:ascii="仿宋_GB2312" w:hAnsi="仿宋_GB2312" w:cs="仿宋_GB2312" w:eastAsia="仿宋_GB2312"/>
                      <w:sz w:val="30"/>
                    </w:rPr>
                    <w:t>培训</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班组长与安全生产</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安全基础知识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安全生产管理与技术</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职业危害及防护知识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机械制造企业典型事故案例</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事故与应急处置</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w:t>
                  </w:r>
                  <w:r>
                    <w:rPr>
                      <w:rFonts w:ascii="仿宋_GB2312" w:hAnsi="仿宋_GB2312" w:cs="仿宋_GB2312" w:eastAsia="仿宋_GB2312"/>
                      <w:sz w:val="30"/>
                    </w:rPr>
                    <w:t>相关内容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安全生产法律法规基本知识</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线下</w:t>
                  </w:r>
                </w:p>
                <w:p>
                  <w:pPr>
                    <w:pStyle w:val="null3"/>
                    <w:jc w:val="center"/>
                  </w:pPr>
                  <w:r>
                    <w:rPr>
                      <w:rFonts w:ascii="仿宋_GB2312" w:hAnsi="仿宋_GB2312" w:cs="仿宋_GB2312" w:eastAsia="仿宋_GB2312"/>
                      <w:sz w:val="30"/>
                    </w:rPr>
                    <w:t>培训</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班组长与安全生产</w:t>
                  </w:r>
                  <w:r>
                    <w:rPr>
                      <w:rFonts w:ascii="仿宋_GB2312" w:hAnsi="仿宋_GB2312" w:cs="仿宋_GB2312" w:eastAsia="仿宋_GB2312"/>
                      <w:sz w:val="30"/>
                    </w:rPr>
                    <w:t>（理论）</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班组长与安全生产</w:t>
                  </w:r>
                  <w:r>
                    <w:rPr>
                      <w:rFonts w:ascii="仿宋_GB2312" w:hAnsi="仿宋_GB2312" w:cs="仿宋_GB2312" w:eastAsia="仿宋_GB2312"/>
                      <w:sz w:val="30"/>
                    </w:rPr>
                    <w:t>（实操）</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安全基础知识（理论）</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安全基础知识（实操）</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安全生产管理与技术（理论）</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安全生产管理与技术（实操）</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职业危害及防护知识</w:t>
                  </w:r>
                  <w:r>
                    <w:rPr>
                      <w:rFonts w:ascii="仿宋_GB2312" w:hAnsi="仿宋_GB2312" w:cs="仿宋_GB2312" w:eastAsia="仿宋_GB2312"/>
                      <w:sz w:val="30"/>
                    </w:rPr>
                    <w:t>（理论）</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职业危害及防护知识</w:t>
                  </w:r>
                  <w:r>
                    <w:rPr>
                      <w:rFonts w:ascii="仿宋_GB2312" w:hAnsi="仿宋_GB2312" w:cs="仿宋_GB2312" w:eastAsia="仿宋_GB2312"/>
                      <w:sz w:val="30"/>
                    </w:rPr>
                    <w:t>（</w:t>
                  </w:r>
                  <w:r>
                    <w:rPr>
                      <w:rFonts w:ascii="仿宋_GB2312" w:hAnsi="仿宋_GB2312" w:cs="仿宋_GB2312" w:eastAsia="仿宋_GB2312"/>
                      <w:sz w:val="30"/>
                    </w:rPr>
                    <w:t>实操</w:t>
                  </w:r>
                  <w:r>
                    <w:rPr>
                      <w:rFonts w:ascii="仿宋_GB2312" w:hAnsi="仿宋_GB2312" w:cs="仿宋_GB2312" w:eastAsia="仿宋_GB2312"/>
                      <w:sz w:val="30"/>
                    </w:rPr>
                    <w:t>）</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机械制造企业典型事故案例</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事故与应急处置</w:t>
                  </w:r>
                  <w:r>
                    <w:rPr>
                      <w:rFonts w:ascii="仿宋_GB2312" w:hAnsi="仿宋_GB2312" w:cs="仿宋_GB2312" w:eastAsia="仿宋_GB2312"/>
                      <w:sz w:val="30"/>
                    </w:rPr>
                    <w:t>（理论）</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事故与应急处置</w:t>
                  </w:r>
                  <w:r>
                    <w:rPr>
                      <w:rFonts w:ascii="仿宋_GB2312" w:hAnsi="仿宋_GB2312" w:cs="仿宋_GB2312" w:eastAsia="仿宋_GB2312"/>
                      <w:sz w:val="30"/>
                    </w:rPr>
                    <w:t>（</w:t>
                  </w:r>
                  <w:r>
                    <w:rPr>
                      <w:rFonts w:ascii="仿宋_GB2312" w:hAnsi="仿宋_GB2312" w:cs="仿宋_GB2312" w:eastAsia="仿宋_GB2312"/>
                      <w:sz w:val="30"/>
                    </w:rPr>
                    <w:t>实操</w:t>
                  </w:r>
                  <w:r>
                    <w:rPr>
                      <w:rFonts w:ascii="仿宋_GB2312" w:hAnsi="仿宋_GB2312" w:cs="仿宋_GB2312" w:eastAsia="仿宋_GB2312"/>
                      <w:sz w:val="30"/>
                    </w:rPr>
                    <w:t>）</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工伤保险和工伤预防</w:t>
                  </w:r>
                  <w:r>
                    <w:rPr>
                      <w:rFonts w:ascii="仿宋_GB2312" w:hAnsi="仿宋_GB2312" w:cs="仿宋_GB2312" w:eastAsia="仿宋_GB2312"/>
                      <w:sz w:val="30"/>
                    </w:rPr>
                    <w:t>相关内容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96"/>
                  <w:vMerge/>
                  <w:tcBorders>
                    <w:top w:val="none" w:color="000000" w:sz="4"/>
                    <w:left w:val="single" w:color="000000" w:sz="4"/>
                    <w:bottom w:val="single" w:color="000000" w:sz="4"/>
                    <w:right w:val="single" w:color="000000" w:sz="4"/>
                  </w:tcBorders>
                </w:tcPr>
                <w:p/>
              </w:tc>
            </w:tr>
            <w:tr>
              <w:tc>
                <w:tcPr>
                  <w:tcW w:type="dxa" w:w="17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合</w:t>
                  </w:r>
                  <w:r>
                    <w:rPr>
                      <w:rFonts w:ascii="仿宋_GB2312" w:hAnsi="仿宋_GB2312" w:cs="仿宋_GB2312" w:eastAsia="仿宋_GB2312"/>
                      <w:sz w:val="30"/>
                    </w:rPr>
                    <w:t xml:space="preserve">  </w:t>
                  </w:r>
                  <w:r>
                    <w:rPr>
                      <w:rFonts w:ascii="仿宋_GB2312" w:hAnsi="仿宋_GB2312" w:cs="仿宋_GB2312" w:eastAsia="仿宋_GB2312"/>
                      <w:sz w:val="30"/>
                    </w:rPr>
                    <w:t>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46</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应急演练及</w:t>
            </w:r>
            <w:r>
              <w:rPr>
                <w:rFonts w:ascii="仿宋_GB2312" w:hAnsi="仿宋_GB2312" w:cs="仿宋_GB2312" w:eastAsia="仿宋_GB2312"/>
                <w:sz w:val="24"/>
                <w:b/>
              </w:rPr>
              <w:t>评估、事故应急</w:t>
            </w:r>
            <w:r>
              <w:rPr>
                <w:rFonts w:ascii="仿宋_GB2312" w:hAnsi="仿宋_GB2312" w:cs="仿宋_GB2312" w:eastAsia="仿宋_GB2312"/>
                <w:sz w:val="24"/>
                <w:b/>
              </w:rPr>
              <w:t>处</w:t>
            </w:r>
            <w:r>
              <w:rPr>
                <w:rFonts w:ascii="仿宋_GB2312" w:hAnsi="仿宋_GB2312" w:cs="仿宋_GB2312" w:eastAsia="仿宋_GB2312"/>
                <w:sz w:val="24"/>
                <w:b/>
              </w:rPr>
              <w:t>置采用</w:t>
            </w:r>
            <w:r>
              <w:rPr>
                <w:rFonts w:ascii="仿宋_GB2312" w:hAnsi="仿宋_GB2312" w:cs="仿宋_GB2312" w:eastAsia="仿宋_GB2312"/>
                <w:sz w:val="24"/>
                <w:b/>
              </w:rPr>
              <w:t>VR模拟（需保证至多5人共用一台设备）、实地演练等模式进行实训教学。</w:t>
            </w:r>
          </w:p>
          <w:p>
            <w:pPr>
              <w:pStyle w:val="null3"/>
              <w:ind w:firstLine="640"/>
              <w:jc w:val="both"/>
            </w:pPr>
            <w:r>
              <w:rPr>
                <w:rFonts w:ascii="仿宋_GB2312" w:hAnsi="仿宋_GB2312" w:cs="仿宋_GB2312" w:eastAsia="仿宋_GB2312"/>
                <w:sz w:val="32"/>
              </w:rPr>
              <w:t>（五）组织方式</w:t>
            </w:r>
            <w:r>
              <w:rPr>
                <w:rFonts w:ascii="仿宋_GB2312" w:hAnsi="仿宋_GB2312" w:cs="仿宋_GB2312" w:eastAsia="仿宋_GB2312"/>
                <w:sz w:val="32"/>
              </w:rPr>
              <w:t>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1）线上培训</w:t>
            </w:r>
            <w:r>
              <w:rPr>
                <w:rFonts w:ascii="仿宋_GB2312" w:hAnsi="仿宋_GB2312" w:cs="仿宋_GB2312" w:eastAsia="仿宋_GB2312"/>
                <w:sz w:val="32"/>
              </w:rPr>
              <w:t>：</w:t>
            </w:r>
            <w:r>
              <w:rPr>
                <w:rFonts w:ascii="仿宋_GB2312" w:hAnsi="仿宋_GB2312" w:cs="仿宋_GB2312" w:eastAsia="仿宋_GB2312"/>
                <w:sz w:val="32"/>
              </w:rPr>
              <w:t>使用工伤预防培训平台，线上培训实行实名制管理，并利用定时答题等技术手段做到实时监控，能统计学员培训学习课时进度，杜绝线上培训挂课、代学等违规行为。培训考核结束后平台将自动生成考核情况统计表。</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2）线下培训</w:t>
            </w:r>
            <w:r>
              <w:rPr>
                <w:rFonts w:ascii="仿宋_GB2312" w:hAnsi="仿宋_GB2312" w:cs="仿宋_GB2312" w:eastAsia="仿宋_GB2312"/>
                <w:sz w:val="32"/>
              </w:rPr>
              <w:t>：</w:t>
            </w:r>
            <w:r>
              <w:rPr>
                <w:rFonts w:ascii="仿宋_GB2312" w:hAnsi="仿宋_GB2312" w:cs="仿宋_GB2312" w:eastAsia="仿宋_GB2312"/>
                <w:sz w:val="32"/>
              </w:rPr>
              <w:t>线下培训的形式为：专家到现场进行授课，通过视频、</w:t>
            </w:r>
            <w:r>
              <w:rPr>
                <w:rFonts w:ascii="仿宋_GB2312" w:hAnsi="仿宋_GB2312" w:cs="仿宋_GB2312" w:eastAsia="仿宋_GB2312"/>
                <w:sz w:val="32"/>
              </w:rPr>
              <w:t>PPT、动图等形式与学员进行互动式交流，让培训更生动形象。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3）考试</w:t>
            </w:r>
            <w:r>
              <w:rPr>
                <w:rFonts w:ascii="仿宋_GB2312" w:hAnsi="仿宋_GB2312" w:cs="仿宋_GB2312" w:eastAsia="仿宋_GB2312"/>
                <w:sz w:val="32"/>
              </w:rPr>
              <w:t>方式</w:t>
            </w:r>
            <w:r>
              <w:rPr>
                <w:rFonts w:ascii="仿宋_GB2312" w:hAnsi="仿宋_GB2312" w:cs="仿宋_GB2312" w:eastAsia="仿宋_GB2312"/>
                <w:sz w:val="32"/>
              </w:rPr>
              <w:t>：</w:t>
            </w:r>
            <w:r>
              <w:rPr>
                <w:rFonts w:ascii="仿宋_GB2312" w:hAnsi="仿宋_GB2312" w:cs="仿宋_GB2312" w:eastAsia="仿宋_GB2312"/>
                <w:sz w:val="32"/>
              </w:rPr>
              <w:t>培考分离</w:t>
            </w:r>
            <w:r>
              <w:rPr>
                <w:rFonts w:ascii="仿宋_GB2312" w:hAnsi="仿宋_GB2312" w:cs="仿宋_GB2312" w:eastAsia="仿宋_GB2312"/>
                <w:sz w:val="32"/>
              </w:rPr>
              <w:t>，</w:t>
            </w:r>
            <w:r>
              <w:rPr>
                <w:rFonts w:ascii="仿宋_GB2312" w:hAnsi="仿宋_GB2312" w:cs="仿宋_GB2312" w:eastAsia="仿宋_GB2312"/>
                <w:sz w:val="32"/>
              </w:rPr>
              <w:t>闭卷考试</w:t>
            </w:r>
            <w:r>
              <w:rPr>
                <w:rFonts w:ascii="仿宋_GB2312" w:hAnsi="仿宋_GB2312" w:cs="仿宋_GB2312" w:eastAsia="仿宋_GB2312"/>
                <w:sz w:val="32"/>
              </w:rPr>
              <w:t>。</w:t>
            </w:r>
            <w:r>
              <w:rPr>
                <w:rFonts w:ascii="仿宋_GB2312" w:hAnsi="仿宋_GB2312" w:cs="仿宋_GB2312" w:eastAsia="仿宋_GB2312"/>
                <w:sz w:val="32"/>
              </w:rPr>
              <w:t>由</w:t>
            </w:r>
            <w:r>
              <w:rPr>
                <w:rFonts w:ascii="仿宋_GB2312" w:hAnsi="仿宋_GB2312" w:cs="仿宋_GB2312" w:eastAsia="仿宋_GB2312"/>
                <w:sz w:val="32"/>
              </w:rPr>
              <w:t>市</w:t>
            </w:r>
            <w:r>
              <w:rPr>
                <w:rFonts w:ascii="仿宋_GB2312" w:hAnsi="仿宋_GB2312" w:cs="仿宋_GB2312" w:eastAsia="仿宋_GB2312"/>
                <w:sz w:val="32"/>
              </w:rPr>
              <w:t>应急管理部门或其委托的机构实施</w:t>
            </w:r>
            <w:r>
              <w:rPr>
                <w:rFonts w:ascii="仿宋_GB2312" w:hAnsi="仿宋_GB2312" w:cs="仿宋_GB2312" w:eastAsia="仿宋_GB2312"/>
                <w:sz w:val="32"/>
              </w:rPr>
              <w:t>，</w:t>
            </w:r>
            <w:r>
              <w:rPr>
                <w:rFonts w:ascii="仿宋_GB2312" w:hAnsi="仿宋_GB2312" w:cs="仿宋_GB2312" w:eastAsia="仿宋_GB2312"/>
                <w:sz w:val="32"/>
              </w:rPr>
              <w:t>按班次单独出卷</w:t>
            </w:r>
            <w:r>
              <w:rPr>
                <w:rFonts w:ascii="仿宋_GB2312" w:hAnsi="仿宋_GB2312" w:cs="仿宋_GB2312" w:eastAsia="仿宋_GB2312"/>
                <w:sz w:val="32"/>
              </w:rPr>
              <w:t>，</w:t>
            </w:r>
            <w:r>
              <w:rPr>
                <w:rFonts w:ascii="仿宋_GB2312" w:hAnsi="仿宋_GB2312" w:cs="仿宋_GB2312" w:eastAsia="仿宋_GB2312"/>
                <w:sz w:val="32"/>
              </w:rPr>
              <w:t>考试不合格允许补考一次</w:t>
            </w:r>
            <w:r>
              <w:rPr>
                <w:rFonts w:ascii="仿宋_GB2312" w:hAnsi="仿宋_GB2312" w:cs="仿宋_GB2312" w:eastAsia="仿宋_GB2312"/>
                <w:sz w:val="32"/>
              </w:rPr>
              <w:t>，</w:t>
            </w:r>
            <w:r>
              <w:rPr>
                <w:rFonts w:ascii="仿宋_GB2312" w:hAnsi="仿宋_GB2312" w:cs="仿宋_GB2312" w:eastAsia="仿宋_GB2312"/>
                <w:sz w:val="32"/>
              </w:rPr>
              <w:t>考试完成后</w:t>
            </w:r>
            <w:r>
              <w:rPr>
                <w:rFonts w:ascii="仿宋_GB2312" w:hAnsi="仿宋_GB2312" w:cs="仿宋_GB2312" w:eastAsia="仿宋_GB2312"/>
                <w:sz w:val="32"/>
              </w:rPr>
              <w:t>，</w:t>
            </w:r>
            <w:r>
              <w:rPr>
                <w:rFonts w:ascii="仿宋_GB2312" w:hAnsi="仿宋_GB2312" w:cs="仿宋_GB2312" w:eastAsia="仿宋_GB2312"/>
                <w:sz w:val="32"/>
              </w:rPr>
              <w:t>由市</w:t>
            </w:r>
            <w:r>
              <w:rPr>
                <w:rFonts w:ascii="仿宋_GB2312" w:hAnsi="仿宋_GB2312" w:cs="仿宋_GB2312" w:eastAsia="仿宋_GB2312"/>
                <w:sz w:val="32"/>
              </w:rPr>
              <w:t>应急管理</w:t>
            </w:r>
            <w:r>
              <w:rPr>
                <w:rFonts w:ascii="仿宋_GB2312" w:hAnsi="仿宋_GB2312" w:cs="仿宋_GB2312" w:eastAsia="仿宋_GB2312"/>
                <w:sz w:val="32"/>
              </w:rPr>
              <w:t>局</w:t>
            </w:r>
            <w:r>
              <w:rPr>
                <w:rFonts w:ascii="仿宋_GB2312" w:hAnsi="仿宋_GB2312" w:cs="仿宋_GB2312" w:eastAsia="仿宋_GB2312"/>
                <w:sz w:val="32"/>
              </w:rPr>
              <w:t>对</w:t>
            </w:r>
            <w:r>
              <w:rPr>
                <w:rFonts w:ascii="仿宋_GB2312" w:hAnsi="仿宋_GB2312" w:cs="仿宋_GB2312" w:eastAsia="仿宋_GB2312"/>
                <w:sz w:val="32"/>
              </w:rPr>
              <w:t>相应</w:t>
            </w:r>
            <w:r>
              <w:rPr>
                <w:rFonts w:ascii="仿宋_GB2312" w:hAnsi="仿宋_GB2312" w:cs="仿宋_GB2312" w:eastAsia="仿宋_GB2312"/>
                <w:sz w:val="32"/>
              </w:rPr>
              <w:t>培训项目进行评估验收</w:t>
            </w:r>
            <w:r>
              <w:rPr>
                <w:rFonts w:ascii="仿宋_GB2312" w:hAnsi="仿宋_GB2312" w:cs="仿宋_GB2312" w:eastAsia="仿宋_GB2312"/>
                <w:sz w:val="32"/>
              </w:rPr>
              <w:t>。</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具备相应的实施工伤预防项目的专业人员，授课教师中需有具备高级专业技术职称人员。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除常规授课设备外，需具备： （一）工伤预防培训所需VR虚拟现实设备，配备VR平台、VR头显，手柄等智能硬件，数量满足培训需求。 （二）人体急救套装。配备心肺复苏训练教学软件、医用CPR心肺复苏假人和仿真人全自动心肺复苏模拟人训练模型，数量满足培训需求。 （三）消防演练设备。配备灭火器、安全面罩、救生绳索等救援设备，可模拟真实的灭火操作。</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1.本项目落实的其他的政府采购政策： （1）《社会保险法》； （2）《工伤保险条例》； （3）《关于印发&lt;陕西省工伤预防五年行动方案（2021-2025）&gt;的通知》（陕人社发【2021】11号）； （4）《关于印发&lt;陕西省矿山、机械制造、铁路运输、铁路建设施工等重点企业工伤预防能力提升培训工程实施方案&gt;的通知》（陕人社函【2023】638号）； （5）《关于印发工伤预防费使用管理暂行办法的通知》（人社部规【2017】13号）； （6）《关于贯彻执行&lt;工伤预防费使用管理暂行办法&gt;的通知》（陕人社发【2018】48号）。 2.本项目培训内容及学时达到陕人社发【2021】11号、陕人社函【2023】638号两个文件明确的相关标准以及渭南市工伤预防培训相关规定要求。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20251101-20251215</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按照采购文件要求及中标人的投标文件应答进行验收，在不改变采购文件实质性要求的基础上，如有不一致的以双方共同确认的为准。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合同签订之日起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全部服务工作完成后评估验收合格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以合同要求的为准。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本项目资格审查由磋商小组进行审查。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自行编制财务制度证明材料.docx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控股关系等情况书面声明.docx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参与的供应商应为中型企业、小型企业、微型企业或监狱企业或残疾人福利性单位。供应商为中小企业的，提供《中小企业声明函》，且中小企业的划分标准所属行业为其他未列明行业；为监狱企业的，应提供监狱企业的证明文件；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供应商须提供合法注册的法人或其他组织的营业执照等证明文件，自然人须提供的身份证明文件；</w:t>
            </w:r>
          </w:p>
        </w:tc>
        <w:tc>
          <w:tcPr>
            <w:tcW w:type="dxa" w:w="3322"/>
          </w:tcPr>
          <w:p>
            <w:pPr>
              <w:pStyle w:val="null3"/>
            </w:pPr>
            <w:r>
              <w:rPr>
                <w:rFonts w:ascii="仿宋_GB2312" w:hAnsi="仿宋_GB2312" w:cs="仿宋_GB2312" w:eastAsia="仿宋_GB2312"/>
              </w:rPr>
              <w:t>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供应商应授权合法的人员参加竞争性磋商的，其中法定代表人须出具法定代表人身份证明，并与营业执照上信息一致。法定代表人授权代表参加的，须出具法定代表人授权书及授权代表身份证；</w:t>
            </w:r>
          </w:p>
        </w:tc>
        <w:tc>
          <w:tcPr>
            <w:tcW w:type="dxa" w:w="3322"/>
          </w:tcPr>
          <w:p>
            <w:pPr>
              <w:pStyle w:val="null3"/>
            </w:pPr>
            <w:r>
              <w:rPr>
                <w:rFonts w:ascii="仿宋_GB2312" w:hAnsi="仿宋_GB2312" w:cs="仿宋_GB2312" w:eastAsia="仿宋_GB2312"/>
              </w:rPr>
              <w:t>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参与政府采购活动前三年（2022.11-2025.11）内在经营活动中没有重大违法记录的书面声明；</w:t>
            </w:r>
          </w:p>
        </w:tc>
        <w:tc>
          <w:tcPr>
            <w:tcW w:type="dxa" w:w="3322"/>
          </w:tcPr>
          <w:p>
            <w:pPr>
              <w:pStyle w:val="null3"/>
            </w:pPr>
            <w:r>
              <w:rPr>
                <w:rFonts w:ascii="仿宋_GB2312" w:hAnsi="仿宋_GB2312" w:cs="仿宋_GB2312" w:eastAsia="仿宋_GB2312"/>
              </w:rPr>
              <w:t>供应商需在项目电子化交易系统中按要求上传参与政府采购活动前三年内在经营活动中没有重大违法记录的书面声明，并进行电子签章。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竞争性磋商前一年（2024.11-2025.11）内任意一个月的完税证明（税种为增值税或企业所得税）及缴纳社会保险证明缴费种类至少包括养老保险。依法免税的、依法不需要缴纳社会保障资金的应提供相关文件证明；</w:t>
            </w:r>
          </w:p>
        </w:tc>
        <w:tc>
          <w:tcPr>
            <w:tcW w:type="dxa" w:w="3322"/>
          </w:tcPr>
          <w:p>
            <w:pPr>
              <w:pStyle w:val="null3"/>
            </w:pPr>
            <w:r>
              <w:rPr>
                <w:rFonts w:ascii="仿宋_GB2312" w:hAnsi="仿宋_GB2312" w:cs="仿宋_GB2312" w:eastAsia="仿宋_GB2312"/>
              </w:rPr>
              <w:t>供应商须提供竞争性磋商前一年（2024.11-2025.11）内任意一个月的完税证明（税种为增值税或企业所得税）及缴纳社会保险证明缴费种类至少包括养老保险。依法免税的、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供应商须提供具有财务审计资质单位出具的2024年度财务报告或开标前六个月内其基本账户银行出具的资信证明。成立时间至提交首次响应文件截止时间不足一年的可提供成立后任意时段的资产负债表；</w:t>
            </w:r>
          </w:p>
        </w:tc>
        <w:tc>
          <w:tcPr>
            <w:tcW w:type="dxa" w:w="3322"/>
          </w:tcPr>
          <w:p>
            <w:pPr>
              <w:pStyle w:val="null3"/>
            </w:pPr>
            <w:r>
              <w:rPr>
                <w:rFonts w:ascii="仿宋_GB2312" w:hAnsi="仿宋_GB2312" w:cs="仿宋_GB2312" w:eastAsia="仿宋_GB2312"/>
              </w:rPr>
              <w:t>供应商需在项目电子化交易系统中按要求上传2024年度财务报告或开标前六个月内其基本账户银行出具的资信证明，成立时间至提交首次响应文件截止时间不足一年的可提供成立后任意时段的资产负债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3322"/>
          </w:tcPr>
          <w:p>
            <w:pPr>
              <w:pStyle w:val="null3"/>
            </w:pPr>
            <w:r>
              <w:rPr>
                <w:rFonts w:ascii="仿宋_GB2312" w:hAnsi="仿宋_GB2312" w:cs="仿宋_GB2312" w:eastAsia="仿宋_GB2312"/>
              </w:rPr>
              <w:t>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说明：以磋商邀请函中的项目名称、项目编号为准。</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三年内无重大违法记录书面声明函.docx 服务内容及服务邀请应答表 法定代表人身份证明、法定代表人授权委托书.docx 中小企业声明函 商务应答表 控股关系等情况书面声明.docx 供应商承诺书（一）（二）.docx 自行编制财务制度证明材料.docx 供应商应提交的相关资格证明材料 报价表 非联合体不分包投标声明.docx 培训方案等.docx 场地租赁资料.docx 供应商概况.docx 响应文件封面 设备清单.docx 信用记录声明.docx 合同文本.docx 残疾人福利性单位声明函 服务方案 标的清单 单位及人员配备情况.docx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 xml:space="preserve"> 完全理解并接受磋商文件合同条款的要求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投标人承诺</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供应商承诺书（一）（二）.docx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对本项目的理解和熟悉程度</w:t>
            </w:r>
          </w:p>
        </w:tc>
        <w:tc>
          <w:tcPr>
            <w:tcW w:type="dxa" w:w="2492"/>
          </w:tcPr>
          <w:p>
            <w:pPr>
              <w:pStyle w:val="null3"/>
            </w:pPr>
            <w:r>
              <w:rPr>
                <w:rFonts w:ascii="仿宋_GB2312" w:hAnsi="仿宋_GB2312" w:cs="仿宋_GB2312" w:eastAsia="仿宋_GB2312"/>
              </w:rPr>
              <w:t>根据供应商对培训事项的前期调研情况、存在的问题及了解分析情况进行综合评价。 1、 理解程度高，非常熟悉，按其响应程度计8-10分。 2、理解程度一般，熟悉程度一般， 按其响应程度计4-7分。 3、完全不理解，不熟悉，按其响应程度计0-3分。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场地租赁资料.docx</w:t>
            </w:r>
          </w:p>
          <w:p>
            <w:pPr>
              <w:pStyle w:val="null3"/>
            </w:pPr>
            <w:r>
              <w:rPr>
                <w:rFonts w:ascii="仿宋_GB2312" w:hAnsi="仿宋_GB2312" w:cs="仿宋_GB2312" w:eastAsia="仿宋_GB2312"/>
              </w:rPr>
              <w:t>单位及人员配备情况.docx</w:t>
            </w:r>
          </w:p>
          <w:p>
            <w:pPr>
              <w:pStyle w:val="null3"/>
            </w:pPr>
            <w:r>
              <w:rPr>
                <w:rFonts w:ascii="仿宋_GB2312" w:hAnsi="仿宋_GB2312" w:cs="仿宋_GB2312" w:eastAsia="仿宋_GB2312"/>
              </w:rPr>
              <w:t>培训方案等.docx</w:t>
            </w:r>
          </w:p>
          <w:p>
            <w:pPr>
              <w:pStyle w:val="null3"/>
            </w:pPr>
            <w:r>
              <w:rPr>
                <w:rFonts w:ascii="仿宋_GB2312" w:hAnsi="仿宋_GB2312" w:cs="仿宋_GB2312" w:eastAsia="仿宋_GB2312"/>
              </w:rPr>
              <w:t>设备清单.docx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根据供应商提供的服务方案、对采购需求的响应情况进行综合评审。 1、针对本项目的培 训对象，制定培训实施方案，方案应列明总体思路，培训内容，开展培训活动的方法等， 提供的项目实施方案至少包含：（1）培训团队的人员安排及分工（2）整体培训服务内容 规划（3）针对本项目培训技术要求的具体服务内容（4）培训工作具体开展实施计划（5 ）培训资料展示等。按其响应程度计0-10分。 2、课程体系设置紧密围绕培训主题，框架 设计合理，提供课程设计方案，包含不限于学习课程安排、现场观摩、辅导答疑、研习交 流的形式等；有合理完整的培训课程提纲，完全满足培训项目全流程服务和质量管控。按 其相应程度计0-5分。 3、具有培训进度计划和培训项目管理方案。方案至少包含：（1） 各项管理制度（2）人员岗位职责（3）档案管理制度（4）应急管理制度（5）档案移交 备查等。按其响应程度计0-5分。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场地租赁资料.docx</w:t>
            </w:r>
          </w:p>
          <w:p>
            <w:pPr>
              <w:pStyle w:val="null3"/>
            </w:pPr>
            <w:r>
              <w:rPr>
                <w:rFonts w:ascii="仿宋_GB2312" w:hAnsi="仿宋_GB2312" w:cs="仿宋_GB2312" w:eastAsia="仿宋_GB2312"/>
              </w:rPr>
              <w:t>单位及人员配备情况.docx</w:t>
            </w:r>
          </w:p>
          <w:p>
            <w:pPr>
              <w:pStyle w:val="null3"/>
            </w:pPr>
            <w:r>
              <w:rPr>
                <w:rFonts w:ascii="仿宋_GB2312" w:hAnsi="仿宋_GB2312" w:cs="仿宋_GB2312" w:eastAsia="仿宋_GB2312"/>
              </w:rPr>
              <w:t>培训方案等.docx</w:t>
            </w:r>
          </w:p>
          <w:p>
            <w:pPr>
              <w:pStyle w:val="null3"/>
            </w:pPr>
            <w:r>
              <w:rPr>
                <w:rFonts w:ascii="仿宋_GB2312" w:hAnsi="仿宋_GB2312" w:cs="仿宋_GB2312" w:eastAsia="仿宋_GB2312"/>
              </w:rPr>
              <w:t>设备清单.docx</w:t>
            </w:r>
          </w:p>
        </w:tc>
      </w:tr>
      <w:tr>
        <w:tc>
          <w:tcPr>
            <w:tcW w:type="dxa" w:w="831"/>
            <w:vMerge/>
          </w:tcPr>
          <w:p/>
        </w:tc>
        <w:tc>
          <w:tcPr>
            <w:tcW w:type="dxa" w:w="1661"/>
          </w:tcPr>
          <w:p>
            <w:pPr>
              <w:pStyle w:val="null3"/>
            </w:pPr>
            <w:r>
              <w:rPr>
                <w:rFonts w:ascii="仿宋_GB2312" w:hAnsi="仿宋_GB2312" w:cs="仿宋_GB2312" w:eastAsia="仿宋_GB2312"/>
              </w:rPr>
              <w:t>线上培训课程内容及要求</w:t>
            </w:r>
          </w:p>
        </w:tc>
        <w:tc>
          <w:tcPr>
            <w:tcW w:type="dxa" w:w="2492"/>
          </w:tcPr>
          <w:p>
            <w:pPr>
              <w:pStyle w:val="null3"/>
            </w:pPr>
            <w:r>
              <w:rPr>
                <w:rFonts w:ascii="仿宋_GB2312" w:hAnsi="仿宋_GB2312" w:cs="仿宋_GB2312" w:eastAsia="仿宋_GB2312"/>
              </w:rPr>
              <w:t>1、课程内容及学时安排符合管理部门的最新要求标准,按其响应程度计0-2分。 2、有专 业的师资队伍，帮助解答学习中遇到的问题,按其响应程度计0-2分。 3、学员学习过程的 全程监督管理和培训质量的量化管理,按其响应程度计0-2分。 4、线上学习24小时技术响 应，保障使用流畅有效,按其响应程度计0-2分。 5、线上考试系统便捷方便，满足企业多 样化的需求,按其响应程度计0-2分。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场地租赁资料.docx</w:t>
            </w:r>
          </w:p>
          <w:p>
            <w:pPr>
              <w:pStyle w:val="null3"/>
            </w:pPr>
            <w:r>
              <w:rPr>
                <w:rFonts w:ascii="仿宋_GB2312" w:hAnsi="仿宋_GB2312" w:cs="仿宋_GB2312" w:eastAsia="仿宋_GB2312"/>
              </w:rPr>
              <w:t>单位及人员配备情况.docx</w:t>
            </w:r>
          </w:p>
          <w:p>
            <w:pPr>
              <w:pStyle w:val="null3"/>
            </w:pPr>
            <w:r>
              <w:rPr>
                <w:rFonts w:ascii="仿宋_GB2312" w:hAnsi="仿宋_GB2312" w:cs="仿宋_GB2312" w:eastAsia="仿宋_GB2312"/>
              </w:rPr>
              <w:t>培训方案等.docx</w:t>
            </w:r>
          </w:p>
          <w:p>
            <w:pPr>
              <w:pStyle w:val="null3"/>
            </w:pPr>
            <w:r>
              <w:rPr>
                <w:rFonts w:ascii="仿宋_GB2312" w:hAnsi="仿宋_GB2312" w:cs="仿宋_GB2312" w:eastAsia="仿宋_GB2312"/>
              </w:rPr>
              <w:t>设备清单.docx</w:t>
            </w:r>
          </w:p>
        </w:tc>
      </w:tr>
      <w:tr>
        <w:tc>
          <w:tcPr>
            <w:tcW w:type="dxa" w:w="831"/>
            <w:vMerge/>
          </w:tcPr>
          <w:p/>
        </w:tc>
        <w:tc>
          <w:tcPr>
            <w:tcW w:type="dxa" w:w="1661"/>
          </w:tcPr>
          <w:p>
            <w:pPr>
              <w:pStyle w:val="null3"/>
            </w:pPr>
            <w:r>
              <w:rPr>
                <w:rFonts w:ascii="仿宋_GB2312" w:hAnsi="仿宋_GB2312" w:cs="仿宋_GB2312" w:eastAsia="仿宋_GB2312"/>
              </w:rPr>
              <w:t>培训内容及形式</w:t>
            </w:r>
          </w:p>
        </w:tc>
        <w:tc>
          <w:tcPr>
            <w:tcW w:type="dxa" w:w="2492"/>
          </w:tcPr>
          <w:p>
            <w:pPr>
              <w:pStyle w:val="null3"/>
            </w:pPr>
            <w:r>
              <w:rPr>
                <w:rFonts w:ascii="仿宋_GB2312" w:hAnsi="仿宋_GB2312" w:cs="仿宋_GB2312" w:eastAsia="仿宋_GB2312"/>
              </w:rPr>
              <w:t>根据供应商提供的培训课程内容及情况进行综合评分： 1、安全生产分管负责人培训课程 。按其响应程度计0-5分。 2、专职安全管理人员培训课程。按其响应程度计0-5分。 3、 一线班组长培训课程。按其响应程度计0-5分。 4、培训专题内容丰富，培训形式多样。 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场地租赁资料.docx</w:t>
            </w:r>
          </w:p>
          <w:p>
            <w:pPr>
              <w:pStyle w:val="null3"/>
            </w:pPr>
            <w:r>
              <w:rPr>
                <w:rFonts w:ascii="仿宋_GB2312" w:hAnsi="仿宋_GB2312" w:cs="仿宋_GB2312" w:eastAsia="仿宋_GB2312"/>
              </w:rPr>
              <w:t>单位及人员配备情况.docx</w:t>
            </w:r>
          </w:p>
          <w:p>
            <w:pPr>
              <w:pStyle w:val="null3"/>
            </w:pPr>
            <w:r>
              <w:rPr>
                <w:rFonts w:ascii="仿宋_GB2312" w:hAnsi="仿宋_GB2312" w:cs="仿宋_GB2312" w:eastAsia="仿宋_GB2312"/>
              </w:rPr>
              <w:t>培训方案等.docx</w:t>
            </w:r>
          </w:p>
          <w:p>
            <w:pPr>
              <w:pStyle w:val="null3"/>
            </w:pPr>
            <w:r>
              <w:rPr>
                <w:rFonts w:ascii="仿宋_GB2312" w:hAnsi="仿宋_GB2312" w:cs="仿宋_GB2312" w:eastAsia="仿宋_GB2312"/>
              </w:rPr>
              <w:t>设备清单.docx</w:t>
            </w:r>
          </w:p>
        </w:tc>
      </w:tr>
      <w:tr>
        <w:tc>
          <w:tcPr>
            <w:tcW w:type="dxa" w:w="831"/>
            <w:vMerge/>
          </w:tcPr>
          <w:p/>
        </w:tc>
        <w:tc>
          <w:tcPr>
            <w:tcW w:type="dxa" w:w="1661"/>
          </w:tcPr>
          <w:p>
            <w:pPr>
              <w:pStyle w:val="null3"/>
            </w:pPr>
            <w:r>
              <w:rPr>
                <w:rFonts w:ascii="仿宋_GB2312" w:hAnsi="仿宋_GB2312" w:cs="仿宋_GB2312" w:eastAsia="仿宋_GB2312"/>
              </w:rPr>
              <w:t>师资配备</w:t>
            </w:r>
          </w:p>
        </w:tc>
        <w:tc>
          <w:tcPr>
            <w:tcW w:type="dxa" w:w="2492"/>
          </w:tcPr>
          <w:p>
            <w:pPr>
              <w:pStyle w:val="null3"/>
            </w:pPr>
            <w:r>
              <w:rPr>
                <w:rFonts w:ascii="仿宋_GB2312" w:hAnsi="仿宋_GB2312" w:cs="仿宋_GB2312" w:eastAsia="仿宋_GB2312"/>
              </w:rPr>
              <w:t>一线正高级或者特级教师，每提供1名得1分，满分5分；副高职称教师每名0.5分，满分5分。 （提供相关证明材料或职称证等材料）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单位及人员配备情况.docx</w:t>
            </w:r>
          </w:p>
        </w:tc>
      </w:tr>
      <w:tr>
        <w:tc>
          <w:tcPr>
            <w:tcW w:type="dxa" w:w="831"/>
            <w:vMerge/>
          </w:tcPr>
          <w:p/>
        </w:tc>
        <w:tc>
          <w:tcPr>
            <w:tcW w:type="dxa" w:w="1661"/>
          </w:tcPr>
          <w:p>
            <w:pPr>
              <w:pStyle w:val="null3"/>
            </w:pPr>
            <w:r>
              <w:rPr>
                <w:rFonts w:ascii="仿宋_GB2312" w:hAnsi="仿宋_GB2312" w:cs="仿宋_GB2312" w:eastAsia="仿宋_GB2312"/>
              </w:rPr>
              <w:t>培训服务保障</w:t>
            </w:r>
          </w:p>
        </w:tc>
        <w:tc>
          <w:tcPr>
            <w:tcW w:type="dxa" w:w="2492"/>
          </w:tcPr>
          <w:p>
            <w:pPr>
              <w:pStyle w:val="null3"/>
            </w:pPr>
            <w:r>
              <w:rPr>
                <w:rFonts w:ascii="仿宋_GB2312" w:hAnsi="仿宋_GB2312" w:cs="仿宋_GB2312" w:eastAsia="仿宋_GB2312"/>
              </w:rPr>
              <w:t>1、供应商具有课程所需配套教学设备（须提供设备清单），满足培训要求，有符合要求 的培训场所或教室，方便使用，面积、环境适宜。（须提供场地租赁合同及照片等资料） 按其响应程度计0-5分。 2、成立项目管理小组，完成培训项目全流程服务和质量管控， 配备班主任，负责全程项目实施、现场服务、考勤管理、授课质量评价及教学支持等，协 助宣传、活动策划等工作，服务承诺内容、质量保证措施全面、合理。按其响应程度计0-5分。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场地租赁资料.docx</w:t>
            </w:r>
          </w:p>
          <w:p>
            <w:pPr>
              <w:pStyle w:val="null3"/>
            </w:pPr>
            <w:r>
              <w:rPr>
                <w:rFonts w:ascii="仿宋_GB2312" w:hAnsi="仿宋_GB2312" w:cs="仿宋_GB2312" w:eastAsia="仿宋_GB2312"/>
              </w:rPr>
              <w:t>单位及人员配备情况.docx</w:t>
            </w:r>
          </w:p>
          <w:p>
            <w:pPr>
              <w:pStyle w:val="null3"/>
            </w:pPr>
            <w:r>
              <w:rPr>
                <w:rFonts w:ascii="仿宋_GB2312" w:hAnsi="仿宋_GB2312" w:cs="仿宋_GB2312" w:eastAsia="仿宋_GB2312"/>
              </w:rPr>
              <w:t>培训方案等.docx</w:t>
            </w:r>
          </w:p>
          <w:p>
            <w:pPr>
              <w:pStyle w:val="null3"/>
            </w:pPr>
            <w:r>
              <w:rPr>
                <w:rFonts w:ascii="仿宋_GB2312" w:hAnsi="仿宋_GB2312" w:cs="仿宋_GB2312" w:eastAsia="仿宋_GB2312"/>
              </w:rPr>
              <w:t>设备清单.docx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价格得分=评标基准价/投标报价×100×20% 评标价基准价为在满足招标文件所有投标价 格最低的投标报价，其价格分为满分。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详见附件：自行编制财务制度证明材料.docx</w:t>
      </w:r>
    </w:p>
    <w:p>
      <w:pPr>
        <w:pStyle w:val="null3"/>
        <w:ind w:firstLine="960"/>
      </w:pPr>
      <w:r>
        <w:rPr>
          <w:rFonts w:ascii="仿宋_GB2312" w:hAnsi="仿宋_GB2312" w:cs="仿宋_GB2312" w:eastAsia="仿宋_GB2312"/>
        </w:rPr>
        <w:t>详见附件：控股关系等情况书面声明.docx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详见附件：自行编制财务制度证明材料.docx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详见附件：场地租赁资料.docx</w:t>
      </w:r>
    </w:p>
    <w:p>
      <w:pPr>
        <w:pStyle w:val="null3"/>
        <w:ind w:firstLine="960"/>
      </w:pPr>
      <w:r>
        <w:rPr>
          <w:rFonts w:ascii="仿宋_GB2312" w:hAnsi="仿宋_GB2312" w:cs="仿宋_GB2312" w:eastAsia="仿宋_GB2312"/>
        </w:rPr>
        <w:t>详见附件：单位及人员配备情况.docx</w:t>
      </w:r>
    </w:p>
    <w:p>
      <w:pPr>
        <w:pStyle w:val="null3"/>
        <w:ind w:firstLine="960"/>
      </w:pPr>
      <w:r>
        <w:rPr>
          <w:rFonts w:ascii="仿宋_GB2312" w:hAnsi="仿宋_GB2312" w:cs="仿宋_GB2312" w:eastAsia="仿宋_GB2312"/>
        </w:rPr>
        <w:t>详见附件：培训方案等.docx</w:t>
      </w:r>
    </w:p>
    <w:p>
      <w:pPr>
        <w:pStyle w:val="null3"/>
        <w:ind w:firstLine="960"/>
      </w:pPr>
      <w:r>
        <w:rPr>
          <w:rFonts w:ascii="仿宋_GB2312" w:hAnsi="仿宋_GB2312" w:cs="仿宋_GB2312" w:eastAsia="仿宋_GB2312"/>
        </w:rPr>
        <w:t>详见附件：设备清单.docx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