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版本号：ZCSP-渭南市-2025-0078720251029001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渭南市救助管理站购买2025-2026年度未成年人救助保护社会工作服务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ZCSP-渭南市-2025-00787</w:t>
      </w:r>
      <w:r>
        <w:br/>
      </w:r>
      <w:r>
        <w:br/>
      </w:r>
      <w:r>
        <w:br/>
      </w:r>
    </w:p>
    <w:p>
      <w:pPr>
        <w:pStyle w:val="null3"/>
        <w:jc w:val="center"/>
        <w:outlineLvl w:val="2"/>
      </w:pPr>
      <w:r>
        <w:rPr>
          <w:rFonts w:ascii="仿宋_GB2312" w:hAnsi="仿宋_GB2312" w:cs="仿宋_GB2312" w:eastAsia="仿宋_GB2312"/>
          <w:sz w:val="28"/>
          <w:b/>
        </w:rPr>
        <w:t>渭南市民政局</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渭南市民政局</w:t>
      </w:r>
      <w:r>
        <w:rPr>
          <w:rFonts w:ascii="仿宋_GB2312" w:hAnsi="仿宋_GB2312" w:cs="仿宋_GB2312" w:eastAsia="仿宋_GB2312"/>
        </w:rPr>
        <w:t>委托，拟对</w:t>
      </w:r>
      <w:r>
        <w:rPr>
          <w:rFonts w:ascii="仿宋_GB2312" w:hAnsi="仿宋_GB2312" w:cs="仿宋_GB2312" w:eastAsia="仿宋_GB2312"/>
        </w:rPr>
        <w:t>渭南市救助管理站购买2025-2026年度未成年人救助保护社会工作服务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渭南市救助管理站购买2025-2026年度未成年人救助保护社会工作服务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渭南市救助管理站购买2025-2026年度未成年人救助保护社会工作服务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2、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3、磋商保证金：出具磋商保证金交纳凭证或担保机构出具的保函；</w:t>
      </w:r>
    </w:p>
    <w:p>
      <w:pPr>
        <w:pStyle w:val="null3"/>
      </w:pPr>
      <w:r>
        <w:rPr>
          <w:rFonts w:ascii="仿宋_GB2312" w:hAnsi="仿宋_GB2312" w:cs="仿宋_GB2312" w:eastAsia="仿宋_GB2312"/>
        </w:rPr>
        <w:t>4、无控股承诺：单位负责人为同一人或者存在直接控股、管理关系的不同供应商，不得参加同一合同项下的政府采购活动。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牛元媛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0913-2930263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渭南市临渭区乐天大街仁和大厦办公楼401室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王帅棋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银行账号：61050164160000001415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代理服务费收费标准：参照国家计委颁布的《招标代理服务收费管理暂行办法》（计价格[2002]1980号）和（发改办价格[2003]857号）按收费标准计取。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渭南市民政局</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合同文本、国家现行标准及规范、磋商文件、响应文件进行验收。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联系人：陕西盈德工程咨询有限公司</w:t>
      </w:r>
    </w:p>
    <w:p>
      <w:pPr>
        <w:pStyle w:val="null3"/>
      </w:pPr>
      <w:r>
        <w:rPr>
          <w:rFonts w:ascii="仿宋_GB2312" w:hAnsi="仿宋_GB2312" w:cs="仿宋_GB2312" w:eastAsia="仿宋_GB2312"/>
        </w:rPr>
        <w:t>联系电话：18391580827</w:t>
      </w:r>
    </w:p>
    <w:p>
      <w:pPr>
        <w:pStyle w:val="null3"/>
      </w:pPr>
      <w:r>
        <w:rPr>
          <w:rFonts w:ascii="仿宋_GB2312" w:hAnsi="仿宋_GB2312" w:cs="仿宋_GB2312" w:eastAsia="仿宋_GB2312"/>
        </w:rPr>
        <w:t>地址：渭南市临渭区乐天大街仁和大厦前办公楼401室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渭南市救助管理站购买2025-2026年度未成年人救助保护社会工作服务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渭南市救助管理站购买2025-2026年度未成年人救助保护社会工作服务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标的名称：渭南市救助管理站购买2025-2026年度未成年人救助保护社会工作服务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一、基本要求</w:t>
            </w:r>
          </w:p>
          <w:p>
            <w:pPr>
              <w:pStyle w:val="null3"/>
              <w:ind w:firstLine="640"/>
              <w:jc w:val="both"/>
            </w:pPr>
            <w:r>
              <w:rPr>
                <w:rFonts w:ascii="仿宋_GB2312" w:hAnsi="仿宋_GB2312" w:cs="仿宋_GB2312" w:eastAsia="仿宋_GB2312"/>
                <w:sz w:val="18"/>
              </w:rPr>
              <w:t xml:space="preserve">（一）功能要求：渭南市救助管理站购买2025-2026年度未成年人救助保护社会工作服务。 </w:t>
            </w:r>
          </w:p>
          <w:p>
            <w:pPr>
              <w:pStyle w:val="null3"/>
              <w:ind w:firstLine="640"/>
              <w:jc w:val="both"/>
            </w:pPr>
            <w:r>
              <w:rPr>
                <w:rFonts w:ascii="仿宋_GB2312" w:hAnsi="仿宋_GB2312" w:cs="仿宋_GB2312" w:eastAsia="仿宋_GB2312"/>
                <w:sz w:val="18"/>
              </w:rPr>
              <w:t>（二）采购项目需要落实的政府采购政策：</w:t>
            </w:r>
          </w:p>
          <w:p>
            <w:pPr>
              <w:pStyle w:val="null3"/>
              <w:ind w:firstLine="616"/>
              <w:jc w:val="both"/>
            </w:pPr>
            <w:r>
              <w:rPr>
                <w:rFonts w:ascii="仿宋_GB2312" w:hAnsi="仿宋_GB2312" w:cs="仿宋_GB2312" w:eastAsia="仿宋_GB2312"/>
                <w:sz w:val="18"/>
              </w:rPr>
              <w:t>（1）《政府采购促进中小企业发展管理办法》（财库〔2020〕46号）；（2）《关于进一步加大政府采购支持中小企业力度的通知》（财库〔2022〕19号）；（3）《关于政府采购支持监狱企业发展有关问题的通知》（财库〔2014〕68号）；（4）《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 号）；（9）《关于深入开展政府采购脱贫地区农副产品工作推进乡村产业振兴的实施意见》（财库〔2021〕20号）；（10）《陕西省财政厅关于加快推进我省中小企业政府采购信用融资工作的通知》（陕财办采〔2020〕15号）；（11）《陕西省财政厅关于印发陕西省中小企业政府采购信用融资办法》（陕财办采〔2018〕23号）；（12）《陕西省财政厅关于进一步加强政府绿色采购有关问题的通知》（陕财办采〔2021〕29号）；（13）《商品包装政府采购需求标准（试行）》和《快递包装政府采购需求标准（试行）》（财办库〔2020〕123号）；（14）其他需要落实的政府采购政策。</w:t>
            </w:r>
          </w:p>
          <w:p>
            <w:pPr>
              <w:pStyle w:val="null3"/>
              <w:ind w:firstLine="640"/>
              <w:jc w:val="both"/>
            </w:pPr>
            <w:r>
              <w:rPr>
                <w:rFonts w:ascii="仿宋_GB2312" w:hAnsi="仿宋_GB2312" w:cs="仿宋_GB2312" w:eastAsia="仿宋_GB2312"/>
                <w:sz w:val="18"/>
              </w:rPr>
              <w:t>（三）服务期限：自合同签订之日起一年</w:t>
            </w:r>
          </w:p>
          <w:p>
            <w:pPr>
              <w:pStyle w:val="null3"/>
              <w:ind w:firstLine="640"/>
              <w:jc w:val="both"/>
            </w:pPr>
            <w:r>
              <w:rPr>
                <w:rFonts w:ascii="仿宋_GB2312" w:hAnsi="仿宋_GB2312" w:cs="仿宋_GB2312" w:eastAsia="仿宋_GB2312"/>
                <w:sz w:val="18"/>
              </w:rPr>
              <w:t>（四）服务地点：渭南市</w:t>
            </w:r>
          </w:p>
          <w:p>
            <w:pPr>
              <w:pStyle w:val="null3"/>
              <w:ind w:firstLine="616"/>
              <w:jc w:val="both"/>
            </w:pPr>
            <w:r>
              <w:rPr>
                <w:rFonts w:ascii="仿宋_GB2312" w:hAnsi="仿宋_GB2312" w:cs="仿宋_GB2312" w:eastAsia="仿宋_GB2312"/>
                <w:sz w:val="18"/>
              </w:rPr>
              <w:t>（五）是否面向中小企业采购：否，非专门面向中小企业</w:t>
            </w:r>
          </w:p>
          <w:p>
            <w:pPr>
              <w:pStyle w:val="null3"/>
              <w:ind w:firstLine="640"/>
              <w:jc w:val="both"/>
            </w:pPr>
            <w:r>
              <w:rPr>
                <w:rFonts w:ascii="仿宋_GB2312" w:hAnsi="仿宋_GB2312" w:cs="仿宋_GB2312" w:eastAsia="仿宋_GB2312"/>
                <w:sz w:val="18"/>
              </w:rPr>
              <w:t>二、需执行的国家相关标准、行业标准、地方标准或者其他标准</w:t>
            </w:r>
          </w:p>
          <w:p>
            <w:pPr>
              <w:pStyle w:val="null3"/>
              <w:ind w:firstLine="616"/>
              <w:jc w:val="both"/>
            </w:pPr>
            <w:r>
              <w:rPr>
                <w:rFonts w:ascii="仿宋_GB2312" w:hAnsi="仿宋_GB2312" w:cs="仿宋_GB2312" w:eastAsia="仿宋_GB2312"/>
                <w:sz w:val="18"/>
              </w:rPr>
              <w:t>按照渭南市民政局等10部门《关于进一步健全农村留守儿童和困境儿童关爱服务体系的实施方案》（渭民发〔2020〕115号）、渭南市民政局等12部门《关于进一步加强事实无人抚养儿童保障工作的实施方案》（渭民发〔2020〕116号）、渭南市民政局等15部门《渭南市农村留守儿童和困境儿童关爱服务质量提升三年行动实施方案的通知》（渭民发〔2024〕17号）、渭南市民政局等19部门《渭南市加强流动儿童关爱保护行动实施方案的通知》（渭民发〔2025〕68号）等文件要求，做好对生活无着的流浪乞讨、遭受监护侵害、暂时无人监护等未成年人的临时监护及困境儿童、事实无人抚养儿童、流动儿童的关爱保护工作。推动个案管理，处置重、难点未成年人问题，履行强制报告，困境儿童系统信息监测，全市儿童主任及儿童督导员培训及社会资源链接等工作。</w:t>
            </w:r>
          </w:p>
          <w:p>
            <w:pPr>
              <w:pStyle w:val="null3"/>
              <w:ind w:firstLine="640"/>
              <w:jc w:val="both"/>
            </w:pPr>
            <w:r>
              <w:rPr>
                <w:rFonts w:ascii="仿宋_GB2312" w:hAnsi="仿宋_GB2312" w:cs="仿宋_GB2312" w:eastAsia="仿宋_GB2312"/>
                <w:sz w:val="18"/>
              </w:rPr>
              <w:t>三、服务内容及具体指标</w:t>
            </w:r>
          </w:p>
          <w:p>
            <w:pPr>
              <w:pStyle w:val="null3"/>
              <w:ind w:firstLine="616"/>
              <w:jc w:val="both"/>
            </w:pPr>
            <w:r>
              <w:rPr>
                <w:rFonts w:ascii="仿宋_GB2312" w:hAnsi="仿宋_GB2312" w:cs="仿宋_GB2312" w:eastAsia="仿宋_GB2312"/>
                <w:sz w:val="18"/>
              </w:rPr>
              <w:t>（一）服务内容</w:t>
            </w:r>
          </w:p>
          <w:p>
            <w:pPr>
              <w:pStyle w:val="null3"/>
              <w:ind w:firstLine="616"/>
              <w:jc w:val="both"/>
            </w:pPr>
            <w:r>
              <w:rPr>
                <w:rFonts w:ascii="仿宋_GB2312" w:hAnsi="仿宋_GB2312" w:cs="仿宋_GB2312" w:eastAsia="仿宋_GB2312"/>
                <w:sz w:val="18"/>
              </w:rPr>
              <w:t>1.临时照料。对机构临时监护服务对象提供基本生活照料、课业辅导、医疗服务、教育矫正、社会融入活动、心理疏导、情感支持、教育引导、家庭关系修复等专业化服务。定期组织服务对象与亲属见面或线上沟通。</w:t>
            </w:r>
          </w:p>
          <w:p>
            <w:pPr>
              <w:pStyle w:val="null3"/>
              <w:ind w:firstLine="616"/>
              <w:jc w:val="both"/>
            </w:pPr>
            <w:r>
              <w:rPr>
                <w:rFonts w:ascii="仿宋_GB2312" w:hAnsi="仿宋_GB2312" w:cs="仿宋_GB2312" w:eastAsia="仿宋_GB2312"/>
                <w:sz w:val="18"/>
              </w:rPr>
              <w:t>2.承办落实。协调配合有关部门和单位，共同落实未成年人保护工作安排，加强政策衔接、工作对接，共同做好重点疑难个案的商议处置，为基层开展未成年人保护工作提供专业支持。</w:t>
            </w:r>
          </w:p>
          <w:p>
            <w:pPr>
              <w:pStyle w:val="null3"/>
              <w:ind w:firstLine="616"/>
              <w:jc w:val="both"/>
            </w:pPr>
            <w:r>
              <w:rPr>
                <w:rFonts w:ascii="仿宋_GB2312" w:hAnsi="仿宋_GB2312" w:cs="仿宋_GB2312" w:eastAsia="仿宋_GB2312"/>
                <w:sz w:val="18"/>
              </w:rPr>
              <w:t>3.深化专业建设。构建扎实的专业体系，实现服务提质增效，更好地践行社会使命</w:t>
            </w:r>
          </w:p>
          <w:p>
            <w:pPr>
              <w:pStyle w:val="null3"/>
              <w:ind w:firstLine="616"/>
              <w:jc w:val="both"/>
            </w:pPr>
            <w:r>
              <w:rPr>
                <w:rFonts w:ascii="仿宋_GB2312" w:hAnsi="仿宋_GB2312" w:cs="仿宋_GB2312" w:eastAsia="仿宋_GB2312"/>
                <w:sz w:val="18"/>
              </w:rPr>
              <w:t>4.打造区域品牌。深度与地域文化、资源和实际需求相结合，开展具有地域特色的儿童关爱品牌服务。</w:t>
            </w:r>
          </w:p>
          <w:p>
            <w:pPr>
              <w:pStyle w:val="null3"/>
              <w:ind w:firstLine="616"/>
              <w:jc w:val="both"/>
            </w:pPr>
            <w:r>
              <w:rPr>
                <w:rFonts w:ascii="仿宋_GB2312" w:hAnsi="仿宋_GB2312" w:cs="仿宋_GB2312" w:eastAsia="仿宋_GB2312"/>
                <w:sz w:val="18"/>
              </w:rPr>
              <w:t>5.其他事项。完成上级领导交办的其他 工作定期总结工作经验，提升服务影响力和示范性。</w:t>
            </w:r>
          </w:p>
          <w:p>
            <w:pPr>
              <w:pStyle w:val="null3"/>
              <w:ind w:firstLine="616"/>
              <w:jc w:val="both"/>
            </w:pPr>
            <w:r>
              <w:rPr>
                <w:rFonts w:ascii="仿宋_GB2312" w:hAnsi="仿宋_GB2312" w:cs="仿宋_GB2312" w:eastAsia="仿宋_GB2312"/>
                <w:sz w:val="18"/>
              </w:rPr>
              <w:t>5大项服务内容25服务指标（详见附件：渭南市救助管理站2024-2025年度购买未成年人救助保护社会工作服务内容）。</w:t>
            </w:r>
          </w:p>
          <w:p>
            <w:pPr>
              <w:pStyle w:val="null3"/>
              <w:ind w:firstLine="616"/>
              <w:jc w:val="both"/>
            </w:pPr>
            <w:r>
              <w:rPr>
                <w:rFonts w:ascii="仿宋_GB2312" w:hAnsi="仿宋_GB2312" w:cs="仿宋_GB2312" w:eastAsia="仿宋_GB2312"/>
                <w:sz w:val="18"/>
              </w:rPr>
              <w:t>（二）团队人员要求</w:t>
            </w:r>
          </w:p>
          <w:p>
            <w:pPr>
              <w:pStyle w:val="null3"/>
              <w:ind w:firstLine="616"/>
              <w:jc w:val="both"/>
            </w:pPr>
            <w:r>
              <w:rPr>
                <w:rFonts w:ascii="仿宋_GB2312" w:hAnsi="仿宋_GB2312" w:cs="仿宋_GB2312" w:eastAsia="仿宋_GB2312"/>
                <w:sz w:val="18"/>
              </w:rPr>
              <w:t>1.根据本项目要求组建一支以社会工作者为主的工作团队(团队人员不少于【17】人)，其中负责人不少于2名，需是中级社工师；助理级或初级职称工作人员不少于8名(团队应包括社会工作师、教师或者心理咨询师)；（其中临时监护儿童服务不少于10人，男性不少于4人）其他专业人员7名，以上人员须为专职工作人员（其中临时监护儿童服务不少于10人，男性不少于4人）。</w:t>
            </w:r>
          </w:p>
          <w:p>
            <w:pPr>
              <w:pStyle w:val="null3"/>
              <w:ind w:firstLine="616"/>
              <w:jc w:val="both"/>
            </w:pPr>
            <w:r>
              <w:rPr>
                <w:rFonts w:ascii="仿宋_GB2312" w:hAnsi="仿宋_GB2312" w:cs="仿宋_GB2312" w:eastAsia="仿宋_GB2312"/>
                <w:sz w:val="18"/>
              </w:rPr>
              <w:t>2.执行期间，负责人原则上不得变更。乙方如需变动服务人员，应至少提前1个月向甲方报备同意并确保岗位人员不空缺，所更换人员资历、学历、专业经验不低于本合同约定该岗位的设置要求。</w:t>
            </w:r>
          </w:p>
          <w:p>
            <w:pPr>
              <w:pStyle w:val="null3"/>
              <w:ind w:firstLine="616"/>
              <w:jc w:val="both"/>
            </w:pPr>
            <w:r>
              <w:rPr>
                <w:rFonts w:ascii="仿宋_GB2312" w:hAnsi="仿宋_GB2312" w:cs="仿宋_GB2312" w:eastAsia="仿宋_GB2312"/>
                <w:sz w:val="18"/>
              </w:rPr>
              <w:t>3.执行期间，全职人员在工作时间不得兼职从事与本项目无关的活动。</w:t>
            </w:r>
          </w:p>
          <w:p>
            <w:pPr>
              <w:pStyle w:val="null3"/>
              <w:ind w:firstLine="596"/>
              <w:jc w:val="both"/>
            </w:pPr>
            <w:r>
              <w:rPr>
                <w:rFonts w:ascii="仿宋_GB2312" w:hAnsi="仿宋_GB2312" w:cs="仿宋_GB2312" w:eastAsia="仿宋_GB2312"/>
                <w:sz w:val="18"/>
              </w:rPr>
              <w:t>4.本项目项目需配备专业社会工作督导，且应具备相应资历和能力，原则上每月开展 1 次督导，可根据项目实际情况和经费安排作出调整，全年不少于 10 次。产生的所有费用均由乙方承担。</w:t>
            </w:r>
          </w:p>
          <w:p>
            <w:pPr>
              <w:pStyle w:val="null3"/>
              <w:ind w:firstLine="640"/>
              <w:jc w:val="both"/>
            </w:pPr>
            <w:r>
              <w:rPr>
                <w:rFonts w:ascii="仿宋_GB2312" w:hAnsi="仿宋_GB2312" w:cs="仿宋_GB2312" w:eastAsia="仿宋_GB2312"/>
                <w:sz w:val="18"/>
              </w:rPr>
              <w:t>四、合同要求</w:t>
            </w:r>
          </w:p>
          <w:p>
            <w:pPr>
              <w:pStyle w:val="null3"/>
              <w:ind w:firstLine="640"/>
              <w:jc w:val="both"/>
            </w:pPr>
            <w:r>
              <w:rPr>
                <w:rFonts w:ascii="仿宋_GB2312" w:hAnsi="仿宋_GB2312" w:cs="仿宋_GB2312" w:eastAsia="仿宋_GB2312"/>
                <w:sz w:val="18"/>
                <w:color w:val="000000"/>
              </w:rPr>
              <w:t>（一）乙方的权利</w:t>
            </w:r>
          </w:p>
          <w:p>
            <w:pPr>
              <w:pStyle w:val="null3"/>
              <w:ind w:firstLine="616"/>
              <w:jc w:val="left"/>
            </w:pPr>
            <w:r>
              <w:rPr>
                <w:rFonts w:ascii="仿宋_GB2312" w:hAnsi="仿宋_GB2312" w:cs="仿宋_GB2312" w:eastAsia="仿宋_GB2312"/>
                <w:sz w:val="18"/>
              </w:rPr>
              <w:t>1.乙方有权按照本合同约定向甲方收取服务费用。</w:t>
            </w:r>
          </w:p>
          <w:p>
            <w:pPr>
              <w:pStyle w:val="null3"/>
              <w:ind w:firstLine="616"/>
              <w:jc w:val="left"/>
            </w:pPr>
            <w:r>
              <w:rPr>
                <w:rFonts w:ascii="仿宋_GB2312" w:hAnsi="仿宋_GB2312" w:cs="仿宋_GB2312" w:eastAsia="仿宋_GB2312"/>
                <w:sz w:val="18"/>
              </w:rPr>
              <w:t>2.乙方有权自甲方处获得与提供本合同项下服务相关的所有必须的文件、资料。</w:t>
            </w:r>
          </w:p>
          <w:p>
            <w:pPr>
              <w:pStyle w:val="null3"/>
              <w:ind w:firstLine="640"/>
              <w:jc w:val="both"/>
            </w:pPr>
            <w:r>
              <w:rPr>
                <w:rFonts w:ascii="仿宋_GB2312" w:hAnsi="仿宋_GB2312" w:cs="仿宋_GB2312" w:eastAsia="仿宋_GB2312"/>
                <w:sz w:val="18"/>
                <w:color w:val="000000"/>
              </w:rPr>
              <w:t>（二）乙方的义务</w:t>
            </w:r>
          </w:p>
          <w:p>
            <w:pPr>
              <w:pStyle w:val="null3"/>
              <w:ind w:firstLine="616"/>
              <w:jc w:val="both"/>
            </w:pPr>
            <w:r>
              <w:rPr>
                <w:rFonts w:ascii="仿宋_GB2312" w:hAnsi="仿宋_GB2312" w:cs="仿宋_GB2312" w:eastAsia="仿宋_GB2312"/>
                <w:sz w:val="18"/>
              </w:rPr>
              <w:t>1.乙方应对社工和其他工作人员建立劳动关系，订立和履行劳动合同，支付员工工资、交纳相关的社会保险金等费用并承担劳动用工责任，如乙方工作人员遭受或致使人身损害或财产损失，或如乙方与其工作人员发生劳务纠纷、工伤纠纷，与甲方无关，甲方不承担相应的任何责任，由乙方负责处理并承担责任。用于本项目的人员不得与乙方开展的其他服务混同使用，人员若出现违反职业规范、甲方及乙方工作制度的情况，并给甲方带来不良影响，视为该期考核不合格。</w:t>
            </w:r>
          </w:p>
          <w:p>
            <w:pPr>
              <w:pStyle w:val="null3"/>
              <w:ind w:firstLine="616"/>
              <w:jc w:val="both"/>
            </w:pPr>
            <w:r>
              <w:rPr>
                <w:rFonts w:ascii="仿宋_GB2312" w:hAnsi="仿宋_GB2312" w:cs="仿宋_GB2312" w:eastAsia="仿宋_GB2312"/>
                <w:sz w:val="18"/>
              </w:rPr>
              <w:t>2.乙方不得以任何理由将本合同项下的服务项目转包给第三方承担。</w:t>
            </w:r>
          </w:p>
          <w:p>
            <w:pPr>
              <w:pStyle w:val="null3"/>
              <w:ind w:firstLine="616"/>
              <w:jc w:val="both"/>
            </w:pPr>
            <w:r>
              <w:rPr>
                <w:rFonts w:ascii="仿宋_GB2312" w:hAnsi="仿宋_GB2312" w:cs="仿宋_GB2312" w:eastAsia="仿宋_GB2312"/>
                <w:sz w:val="18"/>
              </w:rPr>
              <w:t>3.乙方严格按有关规定管理使用好服务经费及各项费用，专款专用，并接受甲方及有关主管部门的监督。</w:t>
            </w:r>
          </w:p>
          <w:p>
            <w:pPr>
              <w:pStyle w:val="null3"/>
              <w:ind w:firstLine="596"/>
              <w:jc w:val="both"/>
            </w:pPr>
            <w:r>
              <w:rPr>
                <w:rFonts w:ascii="仿宋_GB2312" w:hAnsi="仿宋_GB2312" w:cs="仿宋_GB2312" w:eastAsia="仿宋_GB2312"/>
                <w:sz w:val="18"/>
              </w:rPr>
              <w:t>4.乙方须接受甲方参与、监督和评估工作，配合甲方及其所委托的机构开展日常的例行检查、日常查看及期中、末期评估；</w:t>
            </w:r>
          </w:p>
          <w:p>
            <w:pPr>
              <w:pStyle w:val="null3"/>
              <w:ind w:firstLine="616"/>
              <w:jc w:val="both"/>
            </w:pPr>
            <w:r>
              <w:rPr>
                <w:rFonts w:ascii="仿宋_GB2312" w:hAnsi="仿宋_GB2312" w:cs="仿宋_GB2312" w:eastAsia="仿宋_GB2312"/>
                <w:sz w:val="18"/>
              </w:rPr>
              <w:t>5.在本项目服务过程中，由于乙方的违法违规或不当行为及故意、过失所造成的第三方或甲方损失及有关民事赔偿责任、补偿责任，由乙方负责处理并承担责任。</w:t>
            </w:r>
          </w:p>
          <w:p>
            <w:pPr>
              <w:pStyle w:val="null3"/>
              <w:ind w:firstLine="616"/>
              <w:jc w:val="both"/>
            </w:pPr>
            <w:r>
              <w:rPr>
                <w:rFonts w:ascii="仿宋_GB2312" w:hAnsi="仿宋_GB2312" w:cs="仿宋_GB2312" w:eastAsia="仿宋_GB2312"/>
                <w:sz w:val="18"/>
              </w:rPr>
              <w:t>6.在本项目服务过程中，提供与服务对象的精神状态相适应的服务，在服务过程中，服务对象发生的人身伤害、精神损失、侵权等一切法律责任均由乙方自行负责处理并承担责任，由甲方先行支付或偿付的，甲方有权从尚未向乙方支付的任意一笔款项中扣除，不足扣除的部分有权向乙方全额追偿，乙方对此明确知晓并同意。</w:t>
            </w:r>
          </w:p>
          <w:p>
            <w:pPr>
              <w:pStyle w:val="null3"/>
              <w:ind w:firstLine="596"/>
              <w:jc w:val="both"/>
            </w:pPr>
            <w:r>
              <w:rPr>
                <w:rFonts w:ascii="仿宋_GB2312" w:hAnsi="仿宋_GB2312" w:cs="仿宋_GB2312" w:eastAsia="仿宋_GB2312"/>
                <w:sz w:val="18"/>
              </w:rPr>
              <w:t>7.乙方须按照劳动保障法律法规及有关规定对团队人员进行管理，提供和保障人员接受督导、培训、团建等能力成长机会。</w:t>
            </w:r>
          </w:p>
          <w:p>
            <w:pPr>
              <w:pStyle w:val="null3"/>
              <w:ind w:firstLine="616"/>
              <w:jc w:val="both"/>
            </w:pPr>
            <w:r>
              <w:rPr>
                <w:rFonts w:ascii="仿宋_GB2312" w:hAnsi="仿宋_GB2312" w:cs="仿宋_GB2312" w:eastAsia="仿宋_GB2312"/>
                <w:sz w:val="18"/>
              </w:rPr>
              <w:t>8.乙方制定安全措施和应急预案，主动接受甲方和相关职能部门的检查监督和指导。</w:t>
            </w:r>
          </w:p>
          <w:p>
            <w:pPr>
              <w:pStyle w:val="null3"/>
              <w:ind w:firstLine="640"/>
              <w:jc w:val="both"/>
            </w:pPr>
            <w:r>
              <w:rPr>
                <w:rFonts w:ascii="仿宋_GB2312" w:hAnsi="仿宋_GB2312" w:cs="仿宋_GB2312" w:eastAsia="仿宋_GB2312"/>
                <w:sz w:val="18"/>
              </w:rPr>
              <w:t>五、拟投入本项目的费用测算</w:t>
            </w:r>
          </w:p>
          <w:p>
            <w:pPr>
              <w:pStyle w:val="null3"/>
              <w:ind w:firstLine="640"/>
              <w:jc w:val="both"/>
            </w:pPr>
            <w:r>
              <w:rPr>
                <w:rFonts w:ascii="仿宋_GB2312" w:hAnsi="仿宋_GB2312" w:cs="仿宋_GB2312" w:eastAsia="仿宋_GB2312"/>
                <w:sz w:val="18"/>
              </w:rPr>
              <w:t>本项目预算：</w:t>
            </w:r>
            <w:r>
              <w:rPr>
                <w:rFonts w:ascii="仿宋_GB2312" w:hAnsi="仿宋_GB2312" w:cs="仿宋_GB2312" w:eastAsia="仿宋_GB2312"/>
                <w:sz w:val="18"/>
                <w:color w:val="000000"/>
              </w:rPr>
              <w:t>110万元</w:t>
            </w:r>
          </w:p>
          <w:p>
            <w:pPr>
              <w:pStyle w:val="null3"/>
              <w:ind w:firstLine="640"/>
              <w:jc w:val="both"/>
            </w:pPr>
            <w:r>
              <w:rPr>
                <w:rFonts w:ascii="仿宋_GB2312" w:hAnsi="仿宋_GB2312" w:cs="仿宋_GB2312" w:eastAsia="仿宋_GB2312"/>
                <w:sz w:val="18"/>
              </w:rPr>
              <w:t>六、服务质量、标准、期限、效率等要求</w:t>
            </w:r>
          </w:p>
          <w:p>
            <w:pPr>
              <w:pStyle w:val="null3"/>
              <w:ind w:firstLine="640"/>
              <w:jc w:val="both"/>
            </w:pPr>
            <w:r>
              <w:rPr>
                <w:rFonts w:ascii="仿宋_GB2312" w:hAnsi="仿宋_GB2312" w:cs="仿宋_GB2312" w:eastAsia="仿宋_GB2312"/>
                <w:sz w:val="18"/>
              </w:rPr>
              <w:t>达到采购要求。</w:t>
            </w:r>
          </w:p>
          <w:p>
            <w:pPr>
              <w:pStyle w:val="null3"/>
              <w:ind w:firstLine="640"/>
              <w:jc w:val="both"/>
            </w:pPr>
            <w:r>
              <w:rPr>
                <w:rFonts w:ascii="仿宋_GB2312" w:hAnsi="仿宋_GB2312" w:cs="仿宋_GB2312" w:eastAsia="仿宋_GB2312"/>
                <w:sz w:val="18"/>
              </w:rPr>
              <w:t>七、验收标准</w:t>
            </w:r>
          </w:p>
          <w:p>
            <w:pPr>
              <w:pStyle w:val="null3"/>
              <w:ind w:firstLine="640"/>
              <w:jc w:val="both"/>
            </w:pPr>
            <w:r>
              <w:rPr>
                <w:rFonts w:ascii="仿宋_GB2312" w:hAnsi="仿宋_GB2312" w:cs="仿宋_GB2312" w:eastAsia="仿宋_GB2312"/>
                <w:sz w:val="18"/>
              </w:rPr>
              <w:t>符合国家相关法律法规要求、采购人及磋商文件要求。</w:t>
            </w:r>
          </w:p>
          <w:p>
            <w:pPr>
              <w:pStyle w:val="null3"/>
              <w:jc w:val="both"/>
            </w:pPr>
            <w:r>
              <w:rPr>
                <w:rFonts w:ascii="仿宋_GB2312" w:hAnsi="仿宋_GB2312" w:cs="仿宋_GB2312" w:eastAsia="仿宋_GB2312"/>
                <w:sz w:val="18"/>
              </w:rPr>
              <w:t xml:space="preserve">         </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附件：</w:t>
            </w:r>
          </w:p>
          <w:tbl>
            <w:tblPr>
              <w:tblBorders>
                <w:top w:val="none" w:color="000000" w:sz="4"/>
                <w:left w:val="none" w:color="000000" w:sz="4"/>
                <w:bottom w:val="none" w:color="000000" w:sz="4"/>
                <w:right w:val="none" w:color="000000" w:sz="4"/>
                <w:insideH w:val="none"/>
                <w:insideV w:val="none"/>
              </w:tblBorders>
            </w:tblPr>
            <w:tblGrid>
              <w:gridCol w:w="79"/>
              <w:gridCol w:w="350"/>
              <w:gridCol w:w="76"/>
              <w:gridCol w:w="1173"/>
              <w:gridCol w:w="868"/>
            </w:tblGrid>
            <w:tr>
              <w:tc>
                <w:tcPr>
                  <w:tcW w:type="dxa" w:w="2546"/>
                  <w:gridSpan w:val="5"/>
                  <w:tcBorders>
                    <w:top w:val="none" w:color="000000" w:sz="4"/>
                    <w:left w:val="none" w:color="000000" w:sz="4"/>
                    <w:bottom w:val="none" w:color="000000" w:sz="4"/>
                    <w:right w:val="non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渭南市救助管理站2025-2026年度购买未成年人救助保护社会工作服务内容</w:t>
                  </w:r>
                </w:p>
              </w:tc>
            </w:tr>
            <w:tr>
              <w:tc>
                <w:tcPr>
                  <w:tcW w:type="dxa" w:w="79"/>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序号</w:t>
                  </w:r>
                </w:p>
              </w:tc>
              <w:tc>
                <w:tcPr>
                  <w:tcW w:type="dxa" w:w="350"/>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服务内容</w:t>
                  </w:r>
                </w:p>
              </w:tc>
              <w:tc>
                <w:tcPr>
                  <w:tcW w:type="dxa" w:w="7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序号</w:t>
                  </w:r>
                </w:p>
              </w:tc>
              <w:tc>
                <w:tcPr>
                  <w:tcW w:type="dxa" w:w="1173"/>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服务指标</w:t>
                  </w:r>
                </w:p>
              </w:tc>
              <w:tc>
                <w:tcPr>
                  <w:tcW w:type="dxa" w:w="86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服务要求</w:t>
                  </w:r>
                </w:p>
              </w:tc>
            </w:tr>
            <w:tr>
              <w:tc>
                <w:tcPr>
                  <w:tcW w:type="dxa" w:w="79"/>
                  <w:vMerge w:val="restart"/>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w:t>
                  </w:r>
                </w:p>
              </w:tc>
              <w:tc>
                <w:tcPr>
                  <w:tcW w:type="dxa" w:w="350"/>
                  <w:vMerge w:val="restart"/>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临时照料。对机构临时监护服务对象提供基本生活照料、课业辅导、医疗服务、教育矫正、社会融入活动、心理疏导、情感支持、教育引导、家庭关系修复等专业化服务。定期组织服务对象与亲属见面或线上沟通。</w:t>
                  </w: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服务对象。负责对生活无着的流浪乞讨、遭受监护侵害、暂时无人监护等未成年人实施救助，承担生活照料等工作。</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根据现有未成年人数量，要求配备不少于 10 名工作人员，实行每班在岗不少于3人的24小时工作轮流值班制度，为临时监护服务对象提供生活照料并在系统中同步更新儿童信息等。</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2</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档案管理。使用图片和文字详实体现站内照料未成年人的基本情况、评估内容、援助内容（包括生活、学习、就医、活动等）、转介结案等信息。</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确保工作步骤有迹、有序，资料完善、准确。</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3</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转介结案。完善未成年人转介、结案和护送离站等相关手续。结案后对机构安置儿童统一进行回访。对辖区内回归家庭安置儿童回访不少于2次/年。</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按需提供相关回访记录、图片等佐证材料。</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4</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监护时长。原则上临时照料期限不超过一年，及时对儿童定期进行评估并在有必要的情况下配合开展个案会商。</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评估报告及个案会商等材料。</w:t>
                  </w:r>
                </w:p>
              </w:tc>
            </w:tr>
            <w:tr>
              <w:tc>
                <w:tcPr>
                  <w:tcW w:type="dxa" w:w="79"/>
                  <w:vMerge w:val="restart"/>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2</w:t>
                  </w:r>
                </w:p>
              </w:tc>
              <w:tc>
                <w:tcPr>
                  <w:tcW w:type="dxa" w:w="350"/>
                  <w:vMerge w:val="restart"/>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br/>
                  </w:r>
                </w:p>
                <w:p>
                  <w:pPr>
                    <w:pStyle w:val="null3"/>
                    <w:jc w:val="left"/>
                  </w:pPr>
                  <w:r>
                    <w:rPr>
                      <w:rFonts w:ascii="仿宋_GB2312" w:hAnsi="仿宋_GB2312" w:cs="仿宋_GB2312" w:eastAsia="仿宋_GB2312"/>
                      <w:sz w:val="18"/>
                      <w:color w:val="000000"/>
                    </w:rPr>
                    <w:t>承办落实。协调配合有关部门和单位，共同落实未成年人保护工作安排，加强政策衔接、工作对接，共同做好重点疑难个案的商议处置，为基层开展未成年人保护工作提供专业支持。</w:t>
                  </w: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5</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信息监测。全面掌握辖区困境儿童及事实无人抚养儿童底数及分布，建档儿童按照一级风险（红色风险）、二级风险（橙色风险）、三级风险（黄色风险）和四级风险（绿色风险）四个等级分级分类提供精准服务。为儿童提供生活、学习用品等物资援助，开展安全教育、学业辅导、心理疏导、情感支持、监护指导及政策咨询等服务，全年在档服务困境儿童应不少于120人。</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一级风险入户1次/周，电话1次/周；二级风险入户6次/年，电话12次/年；三级风险入户4次/年，电话8次/年；四级风险入户2次/年，电话4次/年。在发现一级风险未成年人后，应即时上报未保中心，并于两个自然日内完成评估报告和危机介入，及时进行危机干预。</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6</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强制报告。履行强制报告责任，在工作中发现未成年人疑似遭受侵害等情形，第一时间向公安部门及上级主管部门报告，做好信息记录和报告登记。</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强制报告及处置的相关记录。</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7</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发现报告。畅通未成年人保护个案的发现报告渠道，民政部门转介的发现报告信息，组织2名以上评估人员组成评估小组，于两个自然日内完成评估，出具评估报告提出跟进建议。对通过12345热线及本人主动求助的相关线索及时进行处理并进行反馈，超出范围的按责转介有关部门和单位。对需要紧急安置的未成年人，配合未成年人救助保护机构将儿童妥善安置。</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发现报告台账、发现报告登记表、12345热线的接听和处理记录等材料。</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8</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结案回访。根据建档儿童服务情况，适时进行结案评估，形成结案评估记录表。儿童结案后一年内需进行2次回访，回访形式多样，并做好回访记录。</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结案表、回访记录等。</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9</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个案会商。对有需要的儿童采取“一事一议”的形式配合多部门进行个案会商，保障儿童利益最大化。</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个案会商相关记录及结果等。</w:t>
                  </w:r>
                </w:p>
              </w:tc>
            </w:tr>
            <w:tr>
              <w:tc>
                <w:tcPr>
                  <w:tcW w:type="dxa" w:w="79"/>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3</w:t>
                  </w:r>
                </w:p>
              </w:tc>
              <w:tc>
                <w:tcPr>
                  <w:tcW w:type="dxa" w:w="350"/>
                  <w:vMerge w:val="restart"/>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深化专业建设。构建扎实的专业体系，实现服务提质增效，更好地践行社会使命</w:t>
                  </w:r>
                </w:p>
              </w:tc>
              <w:tc>
                <w:tcPr>
                  <w:tcW w:type="dxa" w:w="7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10</w:t>
                  </w:r>
                </w:p>
              </w:tc>
              <w:tc>
                <w:tcPr>
                  <w:tcW w:type="dxa" w:w="1173"/>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项目督导。项目需配备专业社会工作督导，通过定期和持续对机构社工的监督、指导，传授专业服务的知识和技术，以增进人员专业技巧并确保服务质量。原则上每月开展 1 次督导，可根据项目实际情况和经费安排作出调整，全年不少于 10 次。</w:t>
                  </w:r>
                </w:p>
              </w:tc>
              <w:tc>
                <w:tcPr>
                  <w:tcW w:type="dxa" w:w="868"/>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督导资质，督导记录，督导反馈表等。</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none" w:color="000000" w:sz="4"/>
                    <w:right w:val="single" w:color="000000" w:sz="4"/>
                  </w:tcBorders>
                </w:tcPr>
                <w:p/>
              </w:tc>
              <w:tc>
                <w:tcPr>
                  <w:tcW w:type="dxa" w:w="7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11</w:t>
                  </w:r>
                </w:p>
              </w:tc>
              <w:tc>
                <w:tcPr>
                  <w:tcW w:type="dxa" w:w="1173"/>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项目评估。项目应接受甲方监督，并邀请甲方指定的第三方机构进行评估。</w:t>
                  </w:r>
                </w:p>
              </w:tc>
              <w:tc>
                <w:tcPr>
                  <w:tcW w:type="dxa" w:w="868"/>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按评估要求准备相关资料。</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none" w:color="000000" w:sz="4"/>
                    <w:right w:val="single" w:color="000000" w:sz="4"/>
                  </w:tcBorders>
                </w:tcPr>
                <w:p/>
              </w:tc>
              <w:tc>
                <w:tcPr>
                  <w:tcW w:type="dxa" w:w="7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12</w:t>
                  </w:r>
                </w:p>
              </w:tc>
              <w:tc>
                <w:tcPr>
                  <w:tcW w:type="dxa" w:w="1173"/>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强化人才核心。拟定购买服务岗位17人，持证率大于70%。机构需建立系统化的招聘、培训、督导及晋升机制，通过各种形式提升社工理论水平与实务能力，确保团队专业化与稳定性，保障员工福利待遇，打造一支“留得住、干得好、懂专业、有情怀”的团队。</w:t>
                  </w:r>
                </w:p>
              </w:tc>
              <w:tc>
                <w:tcPr>
                  <w:tcW w:type="dxa" w:w="868"/>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相关人员资质、培训证书、培训照片等。</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none" w:color="000000" w:sz="4"/>
                    <w:right w:val="single" w:color="000000" w:sz="4"/>
                  </w:tcBorders>
                </w:tcPr>
                <w:p/>
              </w:tc>
              <w:tc>
                <w:tcPr>
                  <w:tcW w:type="dxa" w:w="7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13</w:t>
                  </w:r>
                </w:p>
              </w:tc>
              <w:tc>
                <w:tcPr>
                  <w:tcW w:type="dxa" w:w="1173"/>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个案工作。配合相关部门，严格按照接案、预估、计划、介入、评估与结案流程对服务对象开展个案服务，服务期内开展个案不少于15例，每例平均服务次数不少于5次，形成典型案例3个。</w:t>
                  </w:r>
                </w:p>
              </w:tc>
              <w:tc>
                <w:tcPr>
                  <w:tcW w:type="dxa" w:w="868"/>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相关服务记录，需体现个案通用过程及专业性。</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none" w:color="000000" w:sz="4"/>
                    <w:right w:val="single" w:color="000000" w:sz="4"/>
                  </w:tcBorders>
                </w:tcPr>
                <w:p/>
              </w:tc>
              <w:tc>
                <w:tcPr>
                  <w:tcW w:type="dxa" w:w="7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14</w:t>
                  </w:r>
                </w:p>
              </w:tc>
              <w:tc>
                <w:tcPr>
                  <w:tcW w:type="dxa" w:w="1173"/>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开展小组活动。根据未成年人成长需要，开展符合儿童需求的小组活动，促进儿童融入社会，每年不少于1个。</w:t>
                  </w:r>
                </w:p>
              </w:tc>
              <w:tc>
                <w:tcPr>
                  <w:tcW w:type="dxa" w:w="868"/>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相关材料应体现小组工作专业性及完整过程。</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none" w:color="000000" w:sz="4"/>
                    <w:right w:val="single" w:color="000000" w:sz="4"/>
                  </w:tcBorders>
                </w:tcPr>
                <w:p/>
              </w:tc>
              <w:tc>
                <w:tcPr>
                  <w:tcW w:type="dxa" w:w="7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15</w:t>
                  </w:r>
                </w:p>
              </w:tc>
              <w:tc>
                <w:tcPr>
                  <w:tcW w:type="dxa" w:w="1173"/>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建立支持系统。积极发展具备法律、心理、教育等专业能力的志愿者，招募相关专业的实习生，链接相关爱心企业和爱心人士等。为有需求的服务对象提供物质援助，以及专业支持等服务。志愿服务活动不少于20次/年。</w:t>
                  </w:r>
                </w:p>
              </w:tc>
              <w:tc>
                <w:tcPr>
                  <w:tcW w:type="dxa" w:w="868"/>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志愿者登记表、实习生登记表、服务记录表、活动照片记录等。</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none" w:color="000000" w:sz="4"/>
                    <w:right w:val="single" w:color="000000" w:sz="4"/>
                  </w:tcBorders>
                </w:tcPr>
                <w:p/>
              </w:tc>
              <w:tc>
                <w:tcPr>
                  <w:tcW w:type="dxa" w:w="7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16</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构建社区支持网络。通过在社区开展各类课程及活动，与儿童所在社区共同走访等形式，了解儿童情况及具体需求，为后期服务提供依据。</w:t>
                  </w:r>
                </w:p>
              </w:tc>
              <w:tc>
                <w:tcPr>
                  <w:tcW w:type="dxa" w:w="868"/>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在社区开展各类活动的资料、与社区工作人员共同入户的记录等。</w:t>
                  </w:r>
                </w:p>
              </w:tc>
            </w:tr>
            <w:tr>
              <w:tc>
                <w:tcPr>
                  <w:tcW w:type="dxa" w:w="79"/>
                  <w:vMerge w:val="restart"/>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4</w:t>
                  </w:r>
                </w:p>
              </w:tc>
              <w:tc>
                <w:tcPr>
                  <w:tcW w:type="dxa" w:w="350"/>
                  <w:vMerge w:val="restart"/>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打造区域品牌。深度与地域文化、资源和实际需求相结合，开展具有地域特色的儿童关爱品牌服务。</w:t>
                  </w: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17</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资源链接。充分体现社会组织链接资源能力，发挥公益平台及行业领先优势，积极引进社会力量，整合相关资源，扩大未成年人保护力量。</w:t>
                  </w:r>
                </w:p>
              </w:tc>
              <w:tc>
                <w:tcPr>
                  <w:tcW w:type="dxa" w:w="868"/>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全年应对本地受助儿童提供不少于价值30万元人民币的公益资源。</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18</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协同关爱。链接本地政府部门、群团组织、爱心企业，组织未成年人开展各类活动，引导未成年人以身体力行的方式强信念、启智慧、增技能、养品格。活动不少于8次/年。</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活动方案、签到、照片、相关报道等。</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19</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未保宣传：通过在今日头条、抖音、微博、微信等网络媒体发布工作动态，电视台、广播电台、报纸、杂志等传统媒体投放稿件，制作小视频、编辑小故事，多方位多角度地宣传未成年人保护工作，要求在未成年人保护中心及以上平台成功发布不少于 60 篇信息推送。</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媒体报道链接、截图等。</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20</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政策宣讲：对儿童父母或者其他监护人开展政策宣讲及亲子沟通专题培训，教授父母或者其他监护人掌握亲子沟通的方式方法，加强亲情关爱。培训和指导辖区儿童督导员/儿童主任提升业务素质、提高关爱服务技能，引导父母或其他监护人强化监护主体责任意识、依法履行监护职责和抚养义务。集中宣讲不少于8次/年。</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课件，签到，照片，相关报道等。</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21</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特色课程：设计儿童安全自护专题课程，教育引导儿童增强自我保护意识，学习自我保护技能，提高自我判断危险能力；进村（居），进学校，进家庭，营造氛围，注重实效，提升儿童关爱服务水平。引导广大留守儿童和困境儿童提高自我保护意识、提升自我保护能力。课程不少于8次/年。</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课件，课程签到，照片，相关报道等。</w:t>
                  </w:r>
                </w:p>
              </w:tc>
            </w:tr>
            <w:tr>
              <w:tc>
                <w:tcPr>
                  <w:tcW w:type="dxa" w:w="79"/>
                  <w:vMerge w:val="restart"/>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5</w:t>
                  </w:r>
                </w:p>
              </w:tc>
              <w:tc>
                <w:tcPr>
                  <w:tcW w:type="dxa" w:w="350"/>
                  <w:vMerge w:val="restart"/>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其他事项。完成上级领导交办的其他 工作定期总结工作经验，提升服务影响力和示范性。</w:t>
                  </w: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22</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总结计划：对工作及时进行总结，并根据工作进度及工作要求制定工作计划。</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年、月、周工作总结，计划。</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23</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经验总结：统计分析未成年人相关数据，梳理未成年人保护工作中存在的问题及服务需求，提出应对策略，形成可供参考的总结材料。每季度向市未保中心提交高质量经验总结材</w:t>
                  </w:r>
                  <w:r>
                    <w:rPr>
                      <w:rFonts w:ascii="仿宋_GB2312" w:hAnsi="仿宋_GB2312" w:cs="仿宋_GB2312" w:eastAsia="仿宋_GB2312"/>
                      <w:sz w:val="18"/>
                      <w:color w:val="000000"/>
                    </w:rPr>
                    <w:t>料不低于 1 篇。</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高质量经验总结材料。</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24</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档案管理：档案规范，体系清晰、分类管理、</w:t>
                  </w:r>
                  <w:r>
                    <w:rPr>
                      <w:rFonts w:ascii="仿宋_GB2312" w:hAnsi="仿宋_GB2312" w:cs="仿宋_GB2312" w:eastAsia="仿宋_GB2312"/>
                      <w:sz w:val="18"/>
                      <w:color w:val="000000"/>
                    </w:rPr>
                    <w:t xml:space="preserve"> 格式统一。按档案管理统一要求进行整理。</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所涉及的所有档案资料。</w:t>
                  </w:r>
                </w:p>
              </w:tc>
            </w:tr>
            <w:tr>
              <w:tc>
                <w:tcPr>
                  <w:tcW w:type="dxa" w:w="79"/>
                  <w:vMerge/>
                  <w:tcBorders>
                    <w:top w:val="none" w:color="000000" w:sz="4"/>
                    <w:left w:val="single" w:color="000000" w:sz="4"/>
                    <w:bottom w:val="single" w:color="000000" w:sz="4"/>
                    <w:right w:val="single" w:color="000000" w:sz="4"/>
                  </w:tcBorders>
                </w:tcPr>
                <w:p/>
              </w:tc>
              <w:tc>
                <w:tcPr>
                  <w:tcW w:type="dxa" w:w="350"/>
                  <w:vMerge/>
                  <w:tcBorders>
                    <w:top w:val="none" w:color="000000" w:sz="4"/>
                    <w:left w:val="none" w:color="000000" w:sz="4"/>
                    <w:bottom w:val="single" w:color="000000" w:sz="4"/>
                    <w:right w:val="single" w:color="000000" w:sz="4"/>
                  </w:tcBorders>
                </w:tcPr>
                <w:p/>
              </w:tc>
              <w:tc>
                <w:tcPr>
                  <w:tcW w:type="dxa" w:w="7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25</w:t>
                  </w:r>
                </w:p>
              </w:tc>
              <w:tc>
                <w:tcPr>
                  <w:tcW w:type="dxa" w:w="117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交办事项：及时完成上级交办的其他事项。</w:t>
                  </w:r>
                </w:p>
              </w:tc>
              <w:tc>
                <w:tcPr>
                  <w:tcW w:type="dxa" w:w="8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交办工作相关材料。</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项目团队人员配置合理，满足项目需求。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项目设施设备配置合理，满足项目需求。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合同文本、国家现行标准及规范、磋商文件、响应文件进行验收。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第一笔服务经费在合同生效之日起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第二笔服务经费在完成中期质量评估均合格后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第三笔服务经费在第三季度结束后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笔服务经费在末期评估合格后拨付（末期评估结果为不合格，乙方根据评估意见进行整改，甲方认可整改结果后，拨付剩余购买服务经费；乙方未依约按时整改完毕，或甲方不认可整改结果的，第四笔购买服务经费暂缓支付，暂缓支付期间乙方应继续履行合同项下的服务义务，直至乙方按照甲方要求完成整改并经甲方书面认可整改结果后才予以支付第四笔服务经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1.2提供具有财务审计资质单位出具的2024年度的财务报告或开标前六个月内其基本账户银行出具的资信证明；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1.5提供供应商参加本次政府采购活动前三年内在经营活动中没有重大违法记录的书面声明； 1.6提供具有履行合同所必需的设备和专业技术能力的声明。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出具磋商保证金交纳凭证或担保机构出具的保函；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磋商响应文件签署、盖章满足磋商文件的要求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中小企业声明函.docx 残疾人福利性单位声明函 服务内容及服务要求应答表 标的清单 报价表 商务应答表.docx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供应商磋商报价未出现选择性报价，磋商报价未超出最高限价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达到国家现行行业验收规范“合格”标准及第三章“磋商项目技术、服务、商务及其他要求”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工作重点、难点及其解决措施</w:t>
            </w:r>
          </w:p>
        </w:tc>
        <w:tc>
          <w:tcPr>
            <w:tcW w:type="dxa" w:w="2492"/>
          </w:tcPr>
          <w:p>
            <w:pPr>
              <w:pStyle w:val="null3"/>
            </w:pPr>
            <w:r>
              <w:rPr>
                <w:rFonts w:ascii="仿宋_GB2312" w:hAnsi="仿宋_GB2312" w:cs="仿宋_GB2312" w:eastAsia="仿宋_GB2312"/>
              </w:rPr>
              <w:t>一、评审内容：提供本项目工作重点、难点及其解决措施方案，工作重点、难点分析全面透彻，具有针对性，解决措施完善合理、可实施性强。 二、评审标准：提供内容详细、合理、科学可行的，得3分；内容存在缺陷扣0.5分；该项分值扣完为止，未提供不得分。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一、评审内容：根据本项目服务特点提合理服务理念，整体服务方案全面，目标定位精准，管理符合实际，安全性、保密性、规范性强。 二、评审标准：提供内容详细、合理、科学可行的，得5分；内容存在缺陷扣0.5分；该项分值扣完为止，未提供不得分。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一、评审内容：提供针对临时照料。机构临时监护服务对象提供基本生活照料、课业辅导、医疗服务、教育矫正、社会融入活动、心理疏导、情感支持、教育引导、家庭关系修复等专业化服务。定期组织服务对象与亲属见面或线上沟通等方面详细说明，方案涵盖内容全面，服务频率满足要求，服务措施得当到位。 二、评审标准：提供内容详细、合理、科学可行的，得5分；内容存在缺陷扣0.5分；该项分值扣完为止，未提供不得分。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一、评审内容：提供针对承办落实。协调配合有关部门和单位，共同落实未成年人保护工作安排，加强政策衔接、工作对接，共同做好重点疑难个案的商议处置，为基层开展未成年人保护工作提供专业支持等方面详细说明，方案涵盖内容全面，服务频率满足要求，服务措施得当到位。 二、评审标准：提供内容详细、合理、科学可行的，得5分；内容存在缺陷扣0.5分；该项分值扣完为止，未提供不得分。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一、评审内容：提供针对深化专业建设。构建扎实的专业体系，实现服务提质增效，更好地践行社会使命等方面详细说明，方案涵盖内容全面，服务频率满足要求，服务措施得当到位。 二、评审标准：提供内容详细、合理、科学可行的，得5分；内容存在缺陷扣0.5分；该项分值扣完为止，未提供不得分。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一、评审内容：提供针对打造区域品牌。深度与地域文化、资源和实际需求相结合，开展具有地域特色的儿童关爱品牌服务等方面详细说明，方案涵盖内容全面，服务频率满足要求，服务措施得当到位。 二、评审标准：提供内容详细、合理、科学可行的，得5分；内容存在缺陷扣0.5分；该项分值扣完为止，未提供不得分。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一、评审内容：提供针对完成上级领导交办的其他工作定期总结工作经验，提升服务影响力和示范性等方面详细说明，方案涵盖内容全面，服务频率满足要求，服务措施得当到位。 二、评审标准：提供内容详细、合理、科学可行的，得5分；内容存在缺陷扣0.5分；该项分值扣完为止，未提供不得分。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管理制度方案（1）</w:t>
            </w:r>
          </w:p>
        </w:tc>
        <w:tc>
          <w:tcPr>
            <w:tcW w:type="dxa" w:w="2492"/>
          </w:tcPr>
          <w:p>
            <w:pPr>
              <w:pStyle w:val="null3"/>
            </w:pPr>
            <w:r>
              <w:rPr>
                <w:rFonts w:ascii="仿宋_GB2312" w:hAnsi="仿宋_GB2312" w:cs="仿宋_GB2312" w:eastAsia="仿宋_GB2312"/>
              </w:rPr>
              <w:t>一、评审内容：提供完善的管理制度方案，包含但不仅限于项目管理机构及管理制度编制、工作职能组织运行图，主负责人管理职责、内部管理的职责分工、日常管理制度，方案中各项管理制度全面完善，人员管理职责清晰。 二、评审标准：提供内容详细、合理、科学可行的，得4分；内容存在缺陷扣0.5分；该项分值扣完为止，未提供不得分。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管理制度方案（2）</w:t>
            </w:r>
          </w:p>
        </w:tc>
        <w:tc>
          <w:tcPr>
            <w:tcW w:type="dxa" w:w="2492"/>
          </w:tcPr>
          <w:p>
            <w:pPr>
              <w:pStyle w:val="null3"/>
            </w:pPr>
            <w:r>
              <w:rPr>
                <w:rFonts w:ascii="仿宋_GB2312" w:hAnsi="仿宋_GB2312" w:cs="仿宋_GB2312" w:eastAsia="仿宋_GB2312"/>
              </w:rPr>
              <w:t>一、评审内容：提供完善的台账制度和考核办法、各项资料、档案管理措施等内容，台账制度和考核办法合理完善，各项资料管理措施到位。 二、评审标准：提供内容详细、合理、科学可行的，得4分；内容存在缺陷扣0.5分；该项分值扣完为止，未提供不得分。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认真做好各类事故的预防工作，确保安全无事故。提供的针对突发特殊情况应急保障措施，具有详细、有效的应急措施。确保在发生紧急事件及其他问题时，能够及时、有效的解决问题，保证项目顺利进行，能在发生紧急事件及其他问题时提供详细的有效补救措施。 二、评审标准：提供内容详细、合理、科学可行的，得5分；内容存在缺陷扣0.5分；该项分值扣完为止，未提供不得分。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本项目工作团队(团队人员不少于【17】人)，其中负责人不少于2名，需是中级社工师；助理级或初级职称工作人员不少于8名(团队应包括社会工作师、教师或者心理咨询师。其中临时监护儿童服务不少于10人，男性不少于4人） 团队其他专业人员7名中，每增加一名专业持证社会工作师、教师或者心理咨询师加1分，满分7分。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拟投入社工人员的培训计划</w:t>
            </w:r>
          </w:p>
        </w:tc>
        <w:tc>
          <w:tcPr>
            <w:tcW w:type="dxa" w:w="2492"/>
          </w:tcPr>
          <w:p>
            <w:pPr>
              <w:pStyle w:val="null3"/>
            </w:pPr>
            <w:r>
              <w:rPr>
                <w:rFonts w:ascii="仿宋_GB2312" w:hAnsi="仿宋_GB2312" w:cs="仿宋_GB2312" w:eastAsia="仿宋_GB2312"/>
              </w:rPr>
              <w:t>一、评审内容：社工人员培训计划内容详细，针对性强，完全满足采购需求要求。 二、评审标准：提供内容详细、合理、科学可行的，得5分；内容存在缺陷扣0.5分；该项分值扣完为止，未提供不得分。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磋商报价组成合理性</w:t>
            </w:r>
          </w:p>
        </w:tc>
        <w:tc>
          <w:tcPr>
            <w:tcW w:type="dxa" w:w="2492"/>
          </w:tcPr>
          <w:p>
            <w:pPr>
              <w:pStyle w:val="null3"/>
            </w:pPr>
            <w:r>
              <w:rPr>
                <w:rFonts w:ascii="仿宋_GB2312" w:hAnsi="仿宋_GB2312" w:cs="仿宋_GB2312" w:eastAsia="仿宋_GB2312"/>
              </w:rPr>
              <w:t>一：评审内容：供应商报价方案清楚明了，各分项报价内容详细，报价分项组成符合本项目需求。 二、评审标准：提供内容详细、合理、科学可行的，得3分；内容存在缺陷扣0.5分；该项分值扣完为止，未提供不得分。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供应商能力</w:t>
            </w:r>
          </w:p>
        </w:tc>
        <w:tc>
          <w:tcPr>
            <w:tcW w:type="dxa" w:w="2492"/>
          </w:tcPr>
          <w:p>
            <w:pPr>
              <w:pStyle w:val="null3"/>
            </w:pPr>
            <w:r>
              <w:rPr>
                <w:rFonts w:ascii="仿宋_GB2312" w:hAnsi="仿宋_GB2312" w:cs="仿宋_GB2312" w:eastAsia="仿宋_GB2312"/>
              </w:rPr>
              <w:t>1、具有3A社会组织评估等级得2分；具有3A以上社会组织评估等级得3分。 （提供等级评估证书，不提供或提供不全者不得分） 2、具有专属机动车辆，有1辆得1分，最多得4分。（提供加盖公章的车辆行驶证复印件，车辆注册人必须为响应供应商）。 3、在本地设有适合未成年人保护工作的固定场所或承诺在成交后在本地设置适合未成年人保护工作固定场所的得4分。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一、评审内容：针对本项目有具体可行的服务承诺，能够明确服务指标，为采购人提供相关服务咨询、优化建议等措施。 二、评审标准：提供内容详细、合理、科学可行的，得3分；内容存在缺陷扣0.5分；该项分值扣完为止，未提供不得分。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供应商提供自2022年10月至投标截止时间类似项目业绩，每提供一个业绩得1分，最高得5分。 （提供合同复印件或中标（成交）通知书复印件加盖公章。如提供中标（成交）通知书，以中标（成交）通知书发放时间为准；如提供合同，以合同签订日期为准。）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价格分采用低价优先法计算，即满足磋商文件要求且投标价格最低的投标报价为评标基准价，其价格分为满分。其他供应商的价格分统一按照下列公式计算： 投标报价得分=（评标基准价/有效报价）×价格权重（20%）×100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