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F213C2">
      <w:pPr>
        <w:jc w:val="both"/>
        <w:rPr>
          <w:rFonts w:ascii="宋体" w:hAnsi="宋体" w:eastAsia="宋体" w:cs="宋体"/>
          <w:b/>
          <w:bCs/>
          <w:color w:val="auto"/>
          <w:sz w:val="40"/>
          <w:szCs w:val="40"/>
        </w:rPr>
      </w:pPr>
    </w:p>
    <w:p w14:paraId="00A660E1">
      <w:pPr>
        <w:jc w:val="both"/>
        <w:rPr>
          <w:rFonts w:ascii="宋体" w:hAnsi="宋体" w:eastAsia="宋体" w:cs="宋体"/>
          <w:b/>
          <w:bCs/>
          <w:color w:val="auto"/>
          <w:sz w:val="40"/>
          <w:szCs w:val="40"/>
        </w:rPr>
      </w:pPr>
    </w:p>
    <w:p w14:paraId="4C21A838">
      <w:pPr>
        <w:jc w:val="center"/>
        <w:rPr>
          <w:rFonts w:hint="eastAsia" w:ascii="宋体" w:hAnsi="宋体" w:eastAsia="宋体" w:cs="宋体"/>
          <w:b/>
          <w:color w:val="auto"/>
          <w:sz w:val="44"/>
          <w:szCs w:val="44"/>
        </w:rPr>
      </w:pPr>
      <w:r>
        <w:rPr>
          <w:rFonts w:hint="eastAsia" w:ascii="宋体" w:hAnsi="宋体" w:eastAsia="宋体" w:cs="宋体"/>
          <w:b/>
          <w:bCs/>
          <w:color w:val="auto"/>
          <w:spacing w:val="-6"/>
          <w:sz w:val="44"/>
          <w:szCs w:val="44"/>
          <w:lang w:val="en-US" w:eastAsia="zh-CN"/>
        </w:rPr>
        <w:t>渭南市救助管理站购买2025-2026年度未成年人救助保护社会工作服务</w:t>
      </w:r>
    </w:p>
    <w:p w14:paraId="68BE5B80">
      <w:pPr>
        <w:jc w:val="center"/>
        <w:rPr>
          <w:rFonts w:hint="eastAsia" w:ascii="宋体" w:hAnsi="宋体" w:eastAsia="宋体" w:cs="宋体"/>
          <w:b/>
          <w:color w:val="auto"/>
          <w:sz w:val="72"/>
          <w:szCs w:val="72"/>
        </w:rPr>
      </w:pPr>
    </w:p>
    <w:p w14:paraId="68C69AF3">
      <w:pPr>
        <w:jc w:val="center"/>
        <w:rPr>
          <w:rFonts w:hint="eastAsia" w:ascii="宋体" w:hAnsi="宋体" w:eastAsia="宋体" w:cs="宋体"/>
          <w:b/>
          <w:color w:val="auto"/>
          <w:sz w:val="72"/>
          <w:szCs w:val="72"/>
        </w:rPr>
      </w:pPr>
    </w:p>
    <w:p w14:paraId="5C49EF93">
      <w:pPr>
        <w:jc w:val="center"/>
        <w:rPr>
          <w:rFonts w:ascii="宋体" w:hAnsi="宋体" w:eastAsia="宋体" w:cs="宋体"/>
          <w:b/>
          <w:color w:val="auto"/>
          <w:sz w:val="72"/>
          <w:szCs w:val="72"/>
        </w:rPr>
      </w:pPr>
      <w:r>
        <w:rPr>
          <w:rFonts w:hint="eastAsia" w:ascii="宋体" w:hAnsi="宋体" w:eastAsia="宋体" w:cs="宋体"/>
          <w:b/>
          <w:color w:val="auto"/>
          <w:sz w:val="72"/>
          <w:szCs w:val="72"/>
        </w:rPr>
        <w:t>合</w:t>
      </w:r>
    </w:p>
    <w:p w14:paraId="7F89BF4D">
      <w:pPr>
        <w:jc w:val="center"/>
        <w:rPr>
          <w:rFonts w:ascii="宋体" w:hAnsi="宋体" w:eastAsia="宋体" w:cs="宋体"/>
          <w:b/>
          <w:color w:val="auto"/>
          <w:sz w:val="72"/>
          <w:szCs w:val="72"/>
        </w:rPr>
      </w:pPr>
    </w:p>
    <w:p w14:paraId="1E613554">
      <w:pPr>
        <w:jc w:val="center"/>
        <w:rPr>
          <w:rFonts w:ascii="宋体" w:hAnsi="宋体" w:eastAsia="宋体" w:cs="宋体"/>
          <w:b/>
          <w:color w:val="auto"/>
          <w:sz w:val="72"/>
          <w:szCs w:val="72"/>
        </w:rPr>
      </w:pPr>
      <w:r>
        <w:rPr>
          <w:rFonts w:hint="eastAsia" w:ascii="宋体" w:hAnsi="宋体" w:eastAsia="宋体" w:cs="宋体"/>
          <w:b/>
          <w:color w:val="auto"/>
          <w:sz w:val="72"/>
          <w:szCs w:val="72"/>
        </w:rPr>
        <w:t>同</w:t>
      </w:r>
    </w:p>
    <w:p w14:paraId="0A00B030">
      <w:pPr>
        <w:jc w:val="center"/>
        <w:rPr>
          <w:rFonts w:ascii="宋体" w:hAnsi="宋体" w:eastAsia="宋体" w:cs="宋体"/>
          <w:b/>
          <w:color w:val="auto"/>
          <w:sz w:val="72"/>
          <w:szCs w:val="72"/>
        </w:rPr>
      </w:pPr>
    </w:p>
    <w:p w14:paraId="29DA41F0">
      <w:pPr>
        <w:jc w:val="center"/>
        <w:rPr>
          <w:color w:val="auto"/>
        </w:rPr>
      </w:pPr>
      <w:r>
        <w:rPr>
          <w:rFonts w:hint="eastAsia" w:ascii="宋体" w:hAnsi="宋体" w:eastAsia="宋体" w:cs="宋体"/>
          <w:b/>
          <w:color w:val="auto"/>
          <w:sz w:val="72"/>
          <w:szCs w:val="72"/>
        </w:rPr>
        <w:t>书</w:t>
      </w:r>
    </w:p>
    <w:p w14:paraId="45D6DAA5">
      <w:pPr>
        <w:pStyle w:val="6"/>
        <w:rPr>
          <w:color w:val="auto"/>
        </w:rPr>
      </w:pPr>
    </w:p>
    <w:p w14:paraId="25E9F37B">
      <w:pPr>
        <w:rPr>
          <w:color w:val="auto"/>
        </w:rPr>
      </w:pPr>
    </w:p>
    <w:p w14:paraId="2797FB73">
      <w:pPr>
        <w:pStyle w:val="2"/>
        <w:rPr>
          <w:color w:val="auto"/>
        </w:rPr>
      </w:pPr>
    </w:p>
    <w:tbl>
      <w:tblPr>
        <w:tblStyle w:val="7"/>
        <w:tblW w:w="6060" w:type="dxa"/>
        <w:jc w:val="center"/>
        <w:tblLayout w:type="fixed"/>
        <w:tblCellMar>
          <w:top w:w="0" w:type="dxa"/>
          <w:left w:w="108" w:type="dxa"/>
          <w:bottom w:w="0" w:type="dxa"/>
          <w:right w:w="108" w:type="dxa"/>
        </w:tblCellMar>
      </w:tblPr>
      <w:tblGrid>
        <w:gridCol w:w="6060"/>
      </w:tblGrid>
      <w:tr w14:paraId="6691941C">
        <w:tblPrEx>
          <w:tblCellMar>
            <w:top w:w="0" w:type="dxa"/>
            <w:left w:w="108" w:type="dxa"/>
            <w:bottom w:w="0" w:type="dxa"/>
            <w:right w:w="108" w:type="dxa"/>
          </w:tblCellMar>
        </w:tblPrEx>
        <w:trPr>
          <w:trHeight w:val="482" w:hRule="atLeast"/>
          <w:jc w:val="center"/>
        </w:trPr>
        <w:tc>
          <w:tcPr>
            <w:tcW w:w="6060" w:type="dxa"/>
          </w:tcPr>
          <w:p w14:paraId="2CF8A7C4">
            <w:pPr>
              <w:rPr>
                <w:rFonts w:ascii="宋体" w:hAnsi="宋体" w:eastAsia="宋体" w:cs="宋体"/>
                <w:b/>
                <w:color w:val="auto"/>
                <w:sz w:val="28"/>
                <w:szCs w:val="28"/>
              </w:rPr>
            </w:pPr>
            <w:r>
              <w:rPr>
                <w:rFonts w:hint="eastAsia" w:ascii="宋体" w:hAnsi="宋体" w:eastAsia="宋体" w:cs="宋体"/>
                <w:b/>
                <w:color w:val="auto"/>
                <w:sz w:val="28"/>
                <w:szCs w:val="28"/>
              </w:rPr>
              <w:t>甲方：</w:t>
            </w:r>
          </w:p>
        </w:tc>
      </w:tr>
      <w:tr w14:paraId="1ED54C7A">
        <w:tblPrEx>
          <w:tblCellMar>
            <w:top w:w="0" w:type="dxa"/>
            <w:left w:w="108" w:type="dxa"/>
            <w:bottom w:w="0" w:type="dxa"/>
            <w:right w:w="108" w:type="dxa"/>
          </w:tblCellMar>
        </w:tblPrEx>
        <w:trPr>
          <w:trHeight w:val="481" w:hRule="atLeast"/>
          <w:jc w:val="center"/>
        </w:trPr>
        <w:tc>
          <w:tcPr>
            <w:tcW w:w="6060" w:type="dxa"/>
          </w:tcPr>
          <w:p w14:paraId="405986DE">
            <w:pPr>
              <w:rPr>
                <w:rFonts w:ascii="宋体" w:hAnsi="宋体" w:eastAsia="宋体" w:cs="宋体"/>
                <w:b/>
                <w:color w:val="auto"/>
                <w:sz w:val="28"/>
                <w:szCs w:val="28"/>
              </w:rPr>
            </w:pPr>
            <w:r>
              <w:rPr>
                <w:rFonts w:hint="eastAsia" w:ascii="宋体" w:hAnsi="宋体" w:eastAsia="宋体" w:cs="宋体"/>
                <w:b/>
                <w:color w:val="auto"/>
                <w:sz w:val="28"/>
                <w:szCs w:val="28"/>
              </w:rPr>
              <w:t>乙方：</w:t>
            </w:r>
          </w:p>
        </w:tc>
      </w:tr>
      <w:tr w14:paraId="0CDDED88">
        <w:tblPrEx>
          <w:tblCellMar>
            <w:top w:w="0" w:type="dxa"/>
            <w:left w:w="108" w:type="dxa"/>
            <w:bottom w:w="0" w:type="dxa"/>
            <w:right w:w="108" w:type="dxa"/>
          </w:tblCellMar>
        </w:tblPrEx>
        <w:trPr>
          <w:trHeight w:val="961" w:hRule="atLeast"/>
          <w:jc w:val="center"/>
        </w:trPr>
        <w:tc>
          <w:tcPr>
            <w:tcW w:w="6060" w:type="dxa"/>
          </w:tcPr>
          <w:p w14:paraId="41581A94">
            <w:pPr>
              <w:rPr>
                <w:rFonts w:ascii="宋体" w:hAnsi="宋体" w:eastAsia="宋体" w:cs="宋体"/>
                <w:b/>
                <w:color w:val="auto"/>
                <w:sz w:val="28"/>
                <w:szCs w:val="28"/>
              </w:rPr>
            </w:pPr>
            <w:r>
              <w:rPr>
                <w:rFonts w:hint="eastAsia" w:ascii="宋体" w:hAnsi="宋体" w:eastAsia="宋体" w:cs="宋体"/>
                <w:b/>
                <w:color w:val="auto"/>
                <w:sz w:val="28"/>
                <w:szCs w:val="28"/>
              </w:rPr>
              <w:t>日期：二〇二</w:t>
            </w:r>
            <w:r>
              <w:rPr>
                <w:rFonts w:hint="eastAsia" w:ascii="宋体" w:hAnsi="宋体" w:eastAsia="宋体" w:cs="宋体"/>
                <w:b/>
                <w:color w:val="auto"/>
                <w:sz w:val="28"/>
                <w:szCs w:val="28"/>
                <w:lang w:val="en-US" w:eastAsia="zh-CN"/>
              </w:rPr>
              <w:t>五</w:t>
            </w:r>
            <w:r>
              <w:rPr>
                <w:rFonts w:hint="eastAsia" w:ascii="宋体" w:hAnsi="宋体" w:eastAsia="宋体" w:cs="宋体"/>
                <w:b/>
                <w:color w:val="auto"/>
                <w:sz w:val="28"/>
                <w:szCs w:val="28"/>
              </w:rPr>
              <w:t>年  月</w:t>
            </w:r>
          </w:p>
        </w:tc>
      </w:tr>
    </w:tbl>
    <w:p w14:paraId="7573796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u w:val="single"/>
          <w:lang w:val="en-US" w:eastAsia="zh-CN"/>
        </w:rPr>
      </w:pPr>
      <w:r>
        <w:rPr>
          <w:rFonts w:hint="eastAsia" w:ascii="宋体" w:hAnsi="宋体" w:eastAsia="宋体" w:cs="宋体"/>
          <w:b/>
          <w:bCs/>
          <w:color w:val="auto"/>
        </w:rPr>
        <w:br w:type="page"/>
      </w:r>
      <w:r>
        <w:rPr>
          <w:rFonts w:hint="eastAsia" w:ascii="宋体" w:hAnsi="宋体" w:eastAsia="宋体" w:cs="宋体"/>
          <w:sz w:val="24"/>
          <w:szCs w:val="24"/>
        </w:rPr>
        <w:t>甲方(委托方):</w:t>
      </w:r>
      <w:r>
        <w:rPr>
          <w:rFonts w:hint="eastAsia" w:ascii="宋体" w:hAnsi="宋体" w:eastAsia="宋体" w:cs="宋体"/>
          <w:sz w:val="24"/>
          <w:szCs w:val="24"/>
          <w:u w:val="single"/>
          <w:lang w:val="en-US" w:eastAsia="zh-CN"/>
        </w:rPr>
        <w:t xml:space="preserve">                       </w:t>
      </w:r>
    </w:p>
    <w:p w14:paraId="057F265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乙方(受托方):</w:t>
      </w:r>
      <w:r>
        <w:rPr>
          <w:rFonts w:hint="eastAsia" w:ascii="宋体" w:hAnsi="宋体" w:eastAsia="宋体" w:cs="宋体"/>
          <w:sz w:val="24"/>
          <w:szCs w:val="24"/>
          <w:u w:val="single"/>
          <w:lang w:val="en-US" w:eastAsia="zh-CN"/>
        </w:rPr>
        <w:t xml:space="preserve">                       </w:t>
      </w:r>
    </w:p>
    <w:p w14:paraId="424B0299">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根据采购结果，按照</w:t>
      </w:r>
      <w:r>
        <w:rPr>
          <w:rFonts w:hint="eastAsia" w:ascii="宋体" w:hAnsi="宋体" w:eastAsia="宋体" w:cs="宋体"/>
          <w:sz w:val="24"/>
          <w:szCs w:val="24"/>
        </w:rPr>
        <w:t>《政府购买服务管理办法》《中华人民共和国合同法》的规定</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渭南市救助管理站</w:t>
      </w:r>
      <w:r>
        <w:rPr>
          <w:rFonts w:hint="eastAsia" w:ascii="宋体" w:hAnsi="宋体" w:eastAsia="宋体" w:cs="宋体"/>
          <w:sz w:val="24"/>
          <w:szCs w:val="24"/>
        </w:rPr>
        <w:t>依据法定程序</w:t>
      </w:r>
      <w:r>
        <w:rPr>
          <w:rFonts w:hint="eastAsia" w:ascii="宋体" w:hAnsi="宋体" w:eastAsia="宋体" w:cs="宋体"/>
          <w:sz w:val="24"/>
          <w:szCs w:val="24"/>
          <w:lang w:eastAsia="zh-CN"/>
        </w:rPr>
        <w:t>，经双方协商</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本着平等互利和诚实信用的原则，一致同意签订本</w:t>
      </w:r>
      <w:r>
        <w:rPr>
          <w:rFonts w:hint="eastAsia" w:ascii="宋体" w:hAnsi="宋体" w:eastAsia="宋体" w:cs="宋体"/>
          <w:sz w:val="24"/>
          <w:szCs w:val="24"/>
          <w:lang w:val="en-US" w:eastAsia="zh-CN"/>
        </w:rPr>
        <w:t>合同</w:t>
      </w:r>
      <w:r>
        <w:rPr>
          <w:rFonts w:hint="eastAsia" w:ascii="宋体" w:hAnsi="宋体" w:eastAsia="宋体" w:cs="宋体"/>
          <w:sz w:val="24"/>
          <w:szCs w:val="24"/>
          <w:lang w:eastAsia="zh-CN"/>
        </w:rPr>
        <w:t>。</w:t>
      </w:r>
    </w:p>
    <w:p w14:paraId="40A70DE7">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一、服务周期及</w:t>
      </w:r>
      <w:r>
        <w:rPr>
          <w:rFonts w:hint="eastAsia" w:ascii="宋体" w:hAnsi="宋体" w:eastAsia="宋体" w:cs="宋体"/>
          <w:color w:val="auto"/>
          <w:sz w:val="24"/>
          <w:szCs w:val="24"/>
          <w:lang w:eastAsia="zh-CN"/>
        </w:rPr>
        <w:t>合同</w:t>
      </w:r>
      <w:r>
        <w:rPr>
          <w:rFonts w:hint="eastAsia" w:ascii="宋体" w:hAnsi="宋体" w:eastAsia="宋体" w:cs="宋体"/>
          <w:color w:val="auto"/>
          <w:sz w:val="24"/>
          <w:szCs w:val="24"/>
        </w:rPr>
        <w:t>期限</w:t>
      </w:r>
    </w:p>
    <w:p w14:paraId="6F86892D">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服务周期为</w:t>
      </w:r>
      <w:r>
        <w:rPr>
          <w:rFonts w:hint="eastAsia" w:ascii="宋体" w:hAnsi="宋体" w:eastAsia="宋体" w:cs="宋体"/>
          <w:sz w:val="24"/>
          <w:szCs w:val="24"/>
          <w:lang w:val="en-US" w:eastAsia="zh-CN"/>
        </w:rPr>
        <w:t>:</w:t>
      </w:r>
      <w:r>
        <w:rPr>
          <w:rFonts w:hint="eastAsia" w:ascii="宋体" w:hAnsi="宋体" w:eastAsia="宋体" w:cs="宋体"/>
          <w:sz w:val="24"/>
          <w:szCs w:val="24"/>
        </w:rPr>
        <w:t>自合同签订之日起一年(</w:t>
      </w:r>
      <w:r>
        <w:rPr>
          <w:rFonts w:hint="eastAsia" w:ascii="宋体" w:hAnsi="宋体" w:eastAsia="宋体" w:cs="宋体"/>
          <w:sz w:val="24"/>
          <w:szCs w:val="24"/>
          <w:lang w:val="en-US" w:eastAsia="zh-CN"/>
        </w:rPr>
        <w:t>合计</w:t>
      </w:r>
      <w:r>
        <w:rPr>
          <w:rFonts w:hint="eastAsia" w:ascii="宋体" w:hAnsi="宋体" w:eastAsia="宋体" w:cs="宋体"/>
          <w:sz w:val="24"/>
          <w:szCs w:val="24"/>
        </w:rPr>
        <w:t>12个月)</w:t>
      </w:r>
      <w:r>
        <w:rPr>
          <w:rFonts w:hint="eastAsia" w:ascii="宋体" w:hAnsi="宋体" w:eastAsia="宋体" w:cs="宋体"/>
          <w:sz w:val="24"/>
          <w:szCs w:val="24"/>
          <w:lang w:eastAsia="zh-CN"/>
        </w:rPr>
        <w:t>，</w:t>
      </w:r>
      <w:r>
        <w:rPr>
          <w:rFonts w:hint="eastAsia" w:ascii="宋体" w:hAnsi="宋体" w:eastAsia="宋体" w:cs="宋体"/>
          <w:sz w:val="24"/>
          <w:szCs w:val="24"/>
        </w:rPr>
        <w:t>自</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日至</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日止</w:t>
      </w:r>
      <w:r>
        <w:rPr>
          <w:rFonts w:hint="eastAsia" w:ascii="宋体" w:hAnsi="宋体" w:eastAsia="宋体" w:cs="宋体"/>
          <w:sz w:val="24"/>
          <w:szCs w:val="24"/>
          <w:lang w:eastAsia="zh-CN"/>
        </w:rPr>
        <w:t>。</w:t>
      </w:r>
      <w:r>
        <w:rPr>
          <w:rFonts w:hint="eastAsia" w:ascii="宋体" w:hAnsi="宋体" w:eastAsia="宋体" w:cs="宋体"/>
          <w:sz w:val="24"/>
          <w:szCs w:val="24"/>
        </w:rPr>
        <w:t>本</w:t>
      </w:r>
      <w:r>
        <w:rPr>
          <w:rFonts w:hint="eastAsia" w:ascii="宋体" w:hAnsi="宋体" w:eastAsia="宋体" w:cs="宋体"/>
          <w:sz w:val="24"/>
          <w:szCs w:val="24"/>
          <w:lang w:eastAsia="zh-CN"/>
        </w:rPr>
        <w:t>合同</w:t>
      </w:r>
      <w:r>
        <w:rPr>
          <w:rFonts w:hint="eastAsia" w:ascii="宋体" w:hAnsi="宋体" w:eastAsia="宋体" w:cs="宋体"/>
          <w:sz w:val="24"/>
          <w:szCs w:val="24"/>
        </w:rPr>
        <w:t>期限为自本</w:t>
      </w:r>
      <w:r>
        <w:rPr>
          <w:rFonts w:hint="eastAsia" w:ascii="宋体" w:hAnsi="宋体" w:eastAsia="宋体" w:cs="宋体"/>
          <w:sz w:val="24"/>
          <w:szCs w:val="24"/>
          <w:lang w:val="en-US" w:eastAsia="zh-CN"/>
        </w:rPr>
        <w:t>合同</w:t>
      </w:r>
      <w:r>
        <w:rPr>
          <w:rFonts w:hint="eastAsia" w:ascii="宋体" w:hAnsi="宋体" w:eastAsia="宋体" w:cs="宋体"/>
          <w:sz w:val="24"/>
          <w:szCs w:val="24"/>
        </w:rPr>
        <w:t>签订生效之日起至双方履行完毕本</w:t>
      </w:r>
      <w:r>
        <w:rPr>
          <w:rFonts w:hint="eastAsia" w:ascii="宋体" w:hAnsi="宋体" w:eastAsia="宋体" w:cs="宋体"/>
          <w:sz w:val="24"/>
          <w:szCs w:val="24"/>
          <w:lang w:val="en-US" w:eastAsia="zh-CN"/>
        </w:rPr>
        <w:t>合同</w:t>
      </w:r>
      <w:r>
        <w:rPr>
          <w:rFonts w:hint="eastAsia" w:ascii="宋体" w:hAnsi="宋体" w:eastAsia="宋体" w:cs="宋体"/>
          <w:sz w:val="24"/>
          <w:szCs w:val="24"/>
        </w:rPr>
        <w:t>项下全部权利义务之日止。</w:t>
      </w:r>
    </w:p>
    <w:p w14:paraId="14CC664E">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甲方有权按照本</w:t>
      </w:r>
      <w:r>
        <w:rPr>
          <w:rFonts w:hint="eastAsia" w:ascii="宋体" w:hAnsi="宋体" w:eastAsia="宋体" w:cs="宋体"/>
          <w:sz w:val="24"/>
          <w:szCs w:val="24"/>
          <w:lang w:eastAsia="zh-CN"/>
        </w:rPr>
        <w:t>合同</w:t>
      </w:r>
      <w:r>
        <w:rPr>
          <w:rFonts w:hint="eastAsia" w:ascii="宋体" w:hAnsi="宋体" w:eastAsia="宋体" w:cs="宋体"/>
          <w:sz w:val="24"/>
          <w:szCs w:val="24"/>
          <w:lang w:val="en-US" w:eastAsia="zh-CN"/>
        </w:rPr>
        <w:t>的</w:t>
      </w:r>
      <w:r>
        <w:rPr>
          <w:rFonts w:hint="eastAsia" w:ascii="宋体" w:hAnsi="宋体" w:eastAsia="宋体" w:cs="宋体"/>
          <w:sz w:val="24"/>
          <w:szCs w:val="24"/>
        </w:rPr>
        <w:t>要求及</w:t>
      </w:r>
      <w:r>
        <w:rPr>
          <w:rFonts w:hint="eastAsia" w:ascii="宋体" w:hAnsi="宋体" w:eastAsia="宋体" w:cs="宋体"/>
          <w:sz w:val="24"/>
          <w:szCs w:val="24"/>
          <w:lang w:val="en-US" w:eastAsia="zh-CN"/>
        </w:rPr>
        <w:t>项目</w:t>
      </w:r>
      <w:r>
        <w:rPr>
          <w:rFonts w:hint="eastAsia" w:ascii="宋体" w:hAnsi="宋体" w:eastAsia="宋体" w:cs="宋体"/>
          <w:sz w:val="24"/>
          <w:szCs w:val="24"/>
        </w:rPr>
        <w:t>需求书对乙方的服务运营情况进行中期(</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日前)和末期(</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年</w:t>
      </w:r>
      <w:r>
        <w:rPr>
          <w:rFonts w:hint="eastAsia" w:ascii="宋体" w:hAnsi="宋体" w:eastAsia="宋体" w:cs="宋体"/>
          <w:i/>
          <w:iCs/>
          <w:sz w:val="24"/>
          <w:szCs w:val="24"/>
          <w:u w:val="single"/>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日前)评估</w:t>
      </w:r>
      <w:r>
        <w:rPr>
          <w:rFonts w:hint="eastAsia" w:ascii="宋体" w:hAnsi="宋体" w:eastAsia="宋体" w:cs="宋体"/>
          <w:sz w:val="24"/>
          <w:szCs w:val="24"/>
          <w:lang w:eastAsia="zh-CN"/>
        </w:rPr>
        <w:t>。</w:t>
      </w:r>
    </w:p>
    <w:p w14:paraId="696FA7D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二、</w:t>
      </w:r>
      <w:r>
        <w:rPr>
          <w:rFonts w:hint="eastAsia" w:ascii="宋体" w:hAnsi="宋体" w:eastAsia="宋体" w:cs="宋体"/>
          <w:b/>
          <w:bCs/>
          <w:color w:val="auto"/>
          <w:sz w:val="24"/>
          <w:szCs w:val="24"/>
        </w:rPr>
        <w:t>服务要求</w:t>
      </w:r>
    </w:p>
    <w:p w14:paraId="7941EAD1">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rPr>
        <w:t>全面了解</w:t>
      </w:r>
      <w:r>
        <w:rPr>
          <w:rFonts w:hint="eastAsia" w:ascii="宋体" w:hAnsi="宋体" w:eastAsia="宋体" w:cs="宋体"/>
          <w:color w:val="000000"/>
          <w:sz w:val="24"/>
          <w:szCs w:val="24"/>
          <w:lang w:val="en-US" w:eastAsia="zh-CN"/>
        </w:rPr>
        <w:t>渭南市区困境儿童、事实无人抚养儿童、流动儿童等及</w:t>
      </w:r>
      <w:r>
        <w:rPr>
          <w:rFonts w:hint="eastAsia" w:ascii="宋体" w:hAnsi="宋体" w:eastAsia="宋体" w:cs="宋体"/>
          <w:color w:val="000000"/>
          <w:sz w:val="24"/>
          <w:szCs w:val="24"/>
        </w:rPr>
        <w:t>未保机构内临时监护儿童</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接收救助的流浪未成年人及其他需要救助的未成年人</w:t>
      </w:r>
      <w:r>
        <w:rPr>
          <w:rFonts w:hint="eastAsia" w:ascii="宋体" w:hAnsi="宋体" w:eastAsia="宋体" w:cs="宋体"/>
          <w:color w:val="000000"/>
          <w:sz w:val="24"/>
          <w:szCs w:val="24"/>
        </w:rPr>
        <w:t>需求</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针对</w:t>
      </w:r>
      <w:r>
        <w:rPr>
          <w:rFonts w:hint="eastAsia" w:ascii="宋体" w:hAnsi="宋体" w:eastAsia="宋体" w:cs="宋体"/>
          <w:color w:val="000000"/>
          <w:sz w:val="24"/>
          <w:szCs w:val="24"/>
          <w:lang w:val="en-US" w:eastAsia="zh-CN"/>
        </w:rPr>
        <w:t>服务对象的</w:t>
      </w:r>
      <w:r>
        <w:rPr>
          <w:rFonts w:hint="eastAsia" w:ascii="宋体" w:hAnsi="宋体" w:eastAsia="宋体" w:cs="宋体"/>
          <w:color w:val="000000"/>
          <w:sz w:val="24"/>
          <w:szCs w:val="24"/>
        </w:rPr>
        <w:t>需求</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提供针对性</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个性化</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专业</w:t>
      </w:r>
      <w:r>
        <w:rPr>
          <w:rFonts w:hint="eastAsia" w:ascii="宋体" w:hAnsi="宋体" w:eastAsia="宋体" w:cs="宋体"/>
          <w:color w:val="000000"/>
          <w:sz w:val="24"/>
          <w:szCs w:val="24"/>
          <w:lang w:val="en-US" w:eastAsia="zh-CN"/>
        </w:rPr>
        <w:t>化的</w:t>
      </w:r>
      <w:r>
        <w:rPr>
          <w:rFonts w:hint="eastAsia" w:ascii="宋体" w:hAnsi="宋体" w:eastAsia="宋体" w:cs="宋体"/>
          <w:color w:val="000000"/>
          <w:sz w:val="24"/>
          <w:szCs w:val="24"/>
        </w:rPr>
        <w:t>服务。</w:t>
      </w:r>
    </w:p>
    <w:p w14:paraId="692C9FED">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b w:val="0"/>
          <w:bCs w:val="0"/>
          <w:color w:val="000000"/>
          <w:sz w:val="24"/>
          <w:szCs w:val="24"/>
        </w:rPr>
        <w:t>2、202</w:t>
      </w:r>
      <w:r>
        <w:rPr>
          <w:rFonts w:hint="eastAsia" w:ascii="宋体" w:hAnsi="宋体" w:eastAsia="宋体" w:cs="宋体"/>
          <w:b w:val="0"/>
          <w:bCs w:val="0"/>
          <w:color w:val="000000"/>
          <w:sz w:val="24"/>
          <w:szCs w:val="24"/>
          <w:lang w:val="en-US" w:eastAsia="zh-CN"/>
        </w:rPr>
        <w:t>5</w:t>
      </w:r>
      <w:r>
        <w:rPr>
          <w:rFonts w:hint="eastAsia" w:ascii="宋体" w:hAnsi="宋体" w:eastAsia="宋体" w:cs="宋体"/>
          <w:color w:val="000000"/>
          <w:sz w:val="24"/>
          <w:szCs w:val="24"/>
        </w:rPr>
        <w:t>年度购买未成年人救助保护社会工作服务范围应覆盖</w:t>
      </w:r>
      <w:r>
        <w:rPr>
          <w:rFonts w:hint="eastAsia" w:ascii="宋体" w:hAnsi="宋体" w:eastAsia="宋体" w:cs="宋体"/>
          <w:color w:val="000000"/>
          <w:sz w:val="24"/>
          <w:szCs w:val="24"/>
          <w:lang w:val="en-US" w:eastAsia="zh-CN"/>
        </w:rPr>
        <w:t>全市，重点以临渭区、高新区、华州区、华阴市等为主，</w:t>
      </w:r>
      <w:r>
        <w:rPr>
          <w:rFonts w:hint="eastAsia" w:ascii="宋体" w:hAnsi="宋体" w:eastAsia="宋体" w:cs="宋体"/>
          <w:color w:val="000000"/>
          <w:sz w:val="24"/>
          <w:szCs w:val="24"/>
        </w:rPr>
        <w:t>建档服务对象数量不少于</w:t>
      </w:r>
      <w:r>
        <w:rPr>
          <w:rFonts w:hint="eastAsia" w:ascii="宋体" w:hAnsi="宋体" w:eastAsia="宋体" w:cs="宋体"/>
          <w:color w:val="000000"/>
          <w:sz w:val="24"/>
          <w:szCs w:val="24"/>
          <w:lang w:val="en-US" w:eastAsia="zh-CN"/>
        </w:rPr>
        <w:t>120人，</w:t>
      </w:r>
      <w:r>
        <w:rPr>
          <w:rFonts w:hint="eastAsia" w:ascii="宋体" w:hAnsi="宋体" w:eastAsia="宋体" w:cs="宋体"/>
          <w:color w:val="000000"/>
          <w:sz w:val="24"/>
          <w:szCs w:val="24"/>
        </w:rPr>
        <w:t>如乙方在本辖区内有相关(同类型)政府购买服务</w:t>
      </w:r>
      <w:r>
        <w:rPr>
          <w:rFonts w:hint="eastAsia" w:ascii="宋体" w:hAnsi="宋体" w:eastAsia="宋体" w:cs="宋体"/>
          <w:color w:val="000000"/>
          <w:sz w:val="24"/>
          <w:szCs w:val="24"/>
          <w:lang w:val="en-US" w:eastAsia="zh-CN"/>
        </w:rPr>
        <w:t>，</w:t>
      </w:r>
      <w:r>
        <w:rPr>
          <w:rFonts w:hint="eastAsia" w:ascii="宋体" w:hAnsi="宋体" w:eastAsia="宋体" w:cs="宋体"/>
          <w:color w:val="000000"/>
          <w:sz w:val="24"/>
          <w:szCs w:val="24"/>
        </w:rPr>
        <w:t>其</w:t>
      </w:r>
      <w:r>
        <w:rPr>
          <w:rFonts w:hint="eastAsia" w:ascii="宋体" w:hAnsi="宋体" w:eastAsia="宋体" w:cs="宋体"/>
          <w:color w:val="000000"/>
          <w:sz w:val="24"/>
          <w:szCs w:val="24"/>
          <w:lang w:val="en-US" w:eastAsia="zh-CN"/>
        </w:rPr>
        <w:t>工作团队、</w:t>
      </w:r>
      <w:r>
        <w:rPr>
          <w:rFonts w:hint="eastAsia" w:ascii="宋体" w:hAnsi="宋体" w:eastAsia="宋体" w:cs="宋体"/>
          <w:color w:val="000000"/>
          <w:sz w:val="24"/>
          <w:szCs w:val="24"/>
        </w:rPr>
        <w:t>服务对象不能与本</w:t>
      </w:r>
      <w:r>
        <w:rPr>
          <w:rFonts w:hint="eastAsia" w:ascii="宋体" w:hAnsi="宋体" w:eastAsia="宋体" w:cs="宋体"/>
          <w:color w:val="000000"/>
          <w:sz w:val="24"/>
          <w:szCs w:val="24"/>
          <w:lang w:val="en-US" w:eastAsia="zh-CN"/>
        </w:rPr>
        <w:t>项目</w:t>
      </w:r>
      <w:r>
        <w:rPr>
          <w:rFonts w:hint="eastAsia" w:ascii="宋体" w:hAnsi="宋体" w:eastAsia="宋体" w:cs="宋体"/>
          <w:color w:val="000000"/>
          <w:sz w:val="24"/>
          <w:szCs w:val="24"/>
        </w:rPr>
        <w:t>重复。</w:t>
      </w:r>
    </w:p>
    <w:p w14:paraId="4244EC68">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160" w:leftChars="0" w:firstLine="64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以维护和保障</w:t>
      </w:r>
      <w:r>
        <w:rPr>
          <w:rFonts w:hint="eastAsia" w:ascii="宋体" w:hAnsi="宋体" w:eastAsia="宋体" w:cs="宋体"/>
          <w:sz w:val="24"/>
          <w:szCs w:val="24"/>
          <w:lang w:val="en-US" w:eastAsia="zh-CN"/>
        </w:rPr>
        <w:t>流浪未成年人、</w:t>
      </w:r>
      <w:r>
        <w:rPr>
          <w:rFonts w:hint="eastAsia" w:ascii="宋体" w:hAnsi="宋体" w:eastAsia="宋体" w:cs="宋体"/>
          <w:sz w:val="24"/>
          <w:szCs w:val="24"/>
        </w:rPr>
        <w:t>困境儿童</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事实无人抚养儿童、流动儿童等</w:t>
      </w:r>
      <w:r>
        <w:rPr>
          <w:rFonts w:hint="eastAsia" w:ascii="宋体" w:hAnsi="宋体" w:eastAsia="宋体" w:cs="宋体"/>
          <w:sz w:val="24"/>
          <w:szCs w:val="24"/>
        </w:rPr>
        <w:t>健康成长的权益为出发点</w:t>
      </w:r>
      <w:r>
        <w:rPr>
          <w:rFonts w:hint="eastAsia" w:ascii="宋体" w:hAnsi="宋体" w:eastAsia="宋体" w:cs="宋体"/>
          <w:sz w:val="24"/>
          <w:szCs w:val="24"/>
          <w:lang w:eastAsia="zh-CN"/>
        </w:rPr>
        <w:t>，</w:t>
      </w:r>
      <w:r>
        <w:rPr>
          <w:rFonts w:hint="eastAsia" w:ascii="宋体" w:hAnsi="宋体" w:eastAsia="宋体" w:cs="宋体"/>
          <w:sz w:val="24"/>
          <w:szCs w:val="24"/>
        </w:rPr>
        <w:t>挖掘儿童在心理疏导、信心树立</w:t>
      </w:r>
      <w:r>
        <w:rPr>
          <w:rFonts w:hint="eastAsia" w:ascii="宋体" w:hAnsi="宋体" w:eastAsia="宋体" w:cs="宋体"/>
          <w:sz w:val="24"/>
          <w:szCs w:val="24"/>
          <w:lang w:eastAsia="zh-CN"/>
        </w:rPr>
        <w:t>、</w:t>
      </w:r>
      <w:r>
        <w:rPr>
          <w:rFonts w:hint="eastAsia" w:ascii="宋体" w:hAnsi="宋体" w:eastAsia="宋体" w:cs="宋体"/>
          <w:sz w:val="24"/>
          <w:szCs w:val="24"/>
        </w:rPr>
        <w:t>关怀陪伴方面的需求</w:t>
      </w:r>
      <w:r>
        <w:rPr>
          <w:rFonts w:hint="eastAsia" w:ascii="宋体" w:hAnsi="宋体" w:eastAsia="宋体" w:cs="宋体"/>
          <w:sz w:val="24"/>
          <w:szCs w:val="24"/>
          <w:lang w:eastAsia="zh-CN"/>
        </w:rPr>
        <w:t>，</w:t>
      </w:r>
      <w:r>
        <w:rPr>
          <w:rFonts w:hint="eastAsia" w:ascii="宋体" w:hAnsi="宋体" w:eastAsia="宋体" w:cs="宋体"/>
          <w:sz w:val="24"/>
          <w:szCs w:val="24"/>
        </w:rPr>
        <w:t>帮助儿童感受到社会的包容和善意</w:t>
      </w:r>
      <w:r>
        <w:rPr>
          <w:rFonts w:hint="eastAsia" w:ascii="宋体" w:hAnsi="宋体" w:eastAsia="宋体" w:cs="宋体"/>
          <w:sz w:val="24"/>
          <w:szCs w:val="24"/>
          <w:lang w:eastAsia="zh-CN"/>
        </w:rPr>
        <w:t>，</w:t>
      </w:r>
      <w:r>
        <w:rPr>
          <w:rFonts w:hint="eastAsia" w:ascii="宋体" w:hAnsi="宋体" w:eastAsia="宋体" w:cs="宋体"/>
          <w:sz w:val="24"/>
          <w:szCs w:val="24"/>
        </w:rPr>
        <w:t>让他们建立身份认同感和自信感</w:t>
      </w:r>
      <w:r>
        <w:rPr>
          <w:rFonts w:hint="eastAsia" w:ascii="宋体" w:hAnsi="宋体" w:eastAsia="宋体" w:cs="宋体"/>
          <w:sz w:val="24"/>
          <w:szCs w:val="24"/>
          <w:lang w:eastAsia="zh-CN"/>
        </w:rPr>
        <w:t>，</w:t>
      </w:r>
      <w:r>
        <w:rPr>
          <w:rFonts w:hint="eastAsia" w:ascii="宋体" w:hAnsi="宋体" w:eastAsia="宋体" w:cs="宋体"/>
          <w:sz w:val="24"/>
          <w:szCs w:val="24"/>
        </w:rPr>
        <w:t>使他们拥有抵抗困境的抗逆力。</w:t>
      </w:r>
    </w:p>
    <w:p w14:paraId="1A10D999">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三、</w:t>
      </w:r>
      <w:r>
        <w:rPr>
          <w:rFonts w:hint="eastAsia" w:ascii="宋体" w:hAnsi="宋体" w:eastAsia="宋体" w:cs="宋体"/>
          <w:b/>
          <w:bCs/>
          <w:color w:val="auto"/>
          <w:sz w:val="24"/>
          <w:szCs w:val="24"/>
        </w:rPr>
        <w:t>服务</w:t>
      </w:r>
      <w:r>
        <w:rPr>
          <w:rFonts w:hint="eastAsia" w:ascii="宋体" w:hAnsi="宋体" w:eastAsia="宋体" w:cs="宋体"/>
          <w:b/>
          <w:bCs/>
          <w:color w:val="auto"/>
          <w:sz w:val="24"/>
          <w:szCs w:val="24"/>
          <w:lang w:val="en-US" w:eastAsia="zh-CN"/>
        </w:rPr>
        <w:t>内容及具体指标</w:t>
      </w:r>
    </w:p>
    <w:p w14:paraId="35198822">
      <w:pPr>
        <w:keepNext w:val="0"/>
        <w:keepLines w:val="0"/>
        <w:pageBreakBefore w:val="0"/>
        <w:widowControl w:val="0"/>
        <w:kinsoku/>
        <w:wordWrap/>
        <w:overflowPunct/>
        <w:topLinePunct w:val="0"/>
        <w:autoSpaceDE/>
        <w:autoSpaceDN/>
        <w:bidi w:val="0"/>
        <w:adjustRightInd/>
        <w:snapToGrid w:val="0"/>
        <w:spacing w:line="560" w:lineRule="exact"/>
        <w:ind w:firstLine="456" w:firstLineChars="200"/>
        <w:textAlignment w:val="auto"/>
        <w:rPr>
          <w:rFonts w:hint="eastAsia" w:ascii="宋体" w:hAnsi="宋体" w:eastAsia="宋体" w:cs="宋体"/>
          <w:spacing w:val="-6"/>
          <w:sz w:val="24"/>
          <w:szCs w:val="24"/>
          <w:lang w:val="en-US" w:eastAsia="zh-CN"/>
        </w:rPr>
      </w:pPr>
      <w:r>
        <w:rPr>
          <w:rFonts w:hint="eastAsia" w:ascii="宋体" w:hAnsi="宋体" w:eastAsia="宋体" w:cs="宋体"/>
          <w:spacing w:val="-6"/>
          <w:sz w:val="24"/>
          <w:szCs w:val="24"/>
          <w:lang w:val="en-US" w:eastAsia="zh-CN"/>
        </w:rPr>
        <w:t>1.临时照料。对机构临时监护服务对象提供基本生活照料、课业辅导、医疗服务、教育矫正、社会融入活动、心理疏导、情感支持、教育引导、家庭关系修复等专业化服务。定期组织服务对象与亲属见面或线上沟通。</w:t>
      </w:r>
    </w:p>
    <w:p w14:paraId="2A2C6BE7">
      <w:pPr>
        <w:keepNext w:val="0"/>
        <w:keepLines w:val="0"/>
        <w:pageBreakBefore w:val="0"/>
        <w:widowControl w:val="0"/>
        <w:kinsoku/>
        <w:wordWrap/>
        <w:overflowPunct/>
        <w:topLinePunct w:val="0"/>
        <w:autoSpaceDE/>
        <w:autoSpaceDN/>
        <w:bidi w:val="0"/>
        <w:adjustRightInd/>
        <w:snapToGrid w:val="0"/>
        <w:spacing w:line="560" w:lineRule="exact"/>
        <w:ind w:firstLine="456" w:firstLineChars="200"/>
        <w:textAlignment w:val="auto"/>
        <w:rPr>
          <w:rFonts w:hint="eastAsia" w:ascii="宋体" w:hAnsi="宋体" w:eastAsia="宋体" w:cs="宋体"/>
          <w:spacing w:val="-6"/>
          <w:sz w:val="24"/>
          <w:szCs w:val="24"/>
          <w:lang w:val="en-US" w:eastAsia="zh-CN"/>
        </w:rPr>
      </w:pPr>
      <w:r>
        <w:rPr>
          <w:rFonts w:hint="eastAsia" w:ascii="宋体" w:hAnsi="宋体" w:eastAsia="宋体" w:cs="宋体"/>
          <w:spacing w:val="-6"/>
          <w:sz w:val="24"/>
          <w:szCs w:val="24"/>
          <w:lang w:val="en-US" w:eastAsia="zh-CN"/>
        </w:rPr>
        <w:t>2.承办落实。协调配合有关部门和单位，共同落实未成年人保护工作安排，加强政策衔接、工作对接，共同做好重点疑难个案的商议处置，为基层开展未成年人保护工作提供专业支持。</w:t>
      </w:r>
    </w:p>
    <w:p w14:paraId="264EFCDA">
      <w:pPr>
        <w:keepNext w:val="0"/>
        <w:keepLines w:val="0"/>
        <w:pageBreakBefore w:val="0"/>
        <w:widowControl w:val="0"/>
        <w:kinsoku/>
        <w:wordWrap/>
        <w:overflowPunct/>
        <w:topLinePunct w:val="0"/>
        <w:autoSpaceDE/>
        <w:autoSpaceDN/>
        <w:bidi w:val="0"/>
        <w:adjustRightInd/>
        <w:snapToGrid w:val="0"/>
        <w:spacing w:line="560" w:lineRule="exact"/>
        <w:ind w:firstLine="436" w:firstLineChars="200"/>
        <w:textAlignment w:val="auto"/>
        <w:rPr>
          <w:rFonts w:hint="eastAsia" w:ascii="宋体" w:hAnsi="宋体" w:eastAsia="宋体" w:cs="宋体"/>
          <w:spacing w:val="-11"/>
          <w:sz w:val="24"/>
          <w:szCs w:val="24"/>
          <w:lang w:val="en-US" w:eastAsia="zh-CN"/>
        </w:rPr>
      </w:pPr>
      <w:r>
        <w:rPr>
          <w:rFonts w:hint="eastAsia" w:ascii="宋体" w:hAnsi="宋体" w:eastAsia="宋体" w:cs="宋体"/>
          <w:spacing w:val="-11"/>
          <w:sz w:val="24"/>
          <w:szCs w:val="24"/>
          <w:lang w:val="en-US" w:eastAsia="zh-CN"/>
        </w:rPr>
        <w:t>3.深化专业建设。构建扎实的专业体系，实现服务提质增效，更好地践行社会使命</w:t>
      </w:r>
    </w:p>
    <w:p w14:paraId="68AF01CC">
      <w:pPr>
        <w:keepNext w:val="0"/>
        <w:keepLines w:val="0"/>
        <w:pageBreakBefore w:val="0"/>
        <w:widowControl w:val="0"/>
        <w:kinsoku/>
        <w:wordWrap/>
        <w:overflowPunct/>
        <w:topLinePunct w:val="0"/>
        <w:autoSpaceDE/>
        <w:autoSpaceDN/>
        <w:bidi w:val="0"/>
        <w:adjustRightInd/>
        <w:snapToGrid w:val="0"/>
        <w:spacing w:line="560" w:lineRule="exact"/>
        <w:ind w:firstLine="456" w:firstLineChars="200"/>
        <w:textAlignment w:val="auto"/>
        <w:rPr>
          <w:rFonts w:hint="eastAsia" w:ascii="宋体" w:hAnsi="宋体" w:eastAsia="宋体" w:cs="宋体"/>
          <w:spacing w:val="-6"/>
          <w:sz w:val="24"/>
          <w:szCs w:val="24"/>
          <w:lang w:val="en-US" w:eastAsia="zh-CN"/>
        </w:rPr>
      </w:pPr>
      <w:r>
        <w:rPr>
          <w:rFonts w:hint="eastAsia" w:ascii="宋体" w:hAnsi="宋体" w:eastAsia="宋体" w:cs="宋体"/>
          <w:spacing w:val="-6"/>
          <w:sz w:val="24"/>
          <w:szCs w:val="24"/>
          <w:lang w:val="en-US" w:eastAsia="zh-CN"/>
        </w:rPr>
        <w:t>4.打造区域品牌。深度与地域文化、资源和实际需求相结合，开展具有地域特色的儿童关爱品牌服务。</w:t>
      </w:r>
    </w:p>
    <w:p w14:paraId="0F4BE88D">
      <w:pPr>
        <w:keepNext w:val="0"/>
        <w:keepLines w:val="0"/>
        <w:pageBreakBefore w:val="0"/>
        <w:widowControl w:val="0"/>
        <w:kinsoku/>
        <w:wordWrap/>
        <w:overflowPunct/>
        <w:topLinePunct w:val="0"/>
        <w:autoSpaceDE/>
        <w:autoSpaceDN/>
        <w:bidi w:val="0"/>
        <w:adjustRightInd/>
        <w:snapToGrid w:val="0"/>
        <w:spacing w:line="560" w:lineRule="exact"/>
        <w:ind w:firstLine="456" w:firstLineChars="200"/>
        <w:textAlignment w:val="auto"/>
        <w:rPr>
          <w:rFonts w:hint="eastAsia" w:ascii="宋体" w:hAnsi="宋体" w:eastAsia="宋体" w:cs="宋体"/>
          <w:spacing w:val="-6"/>
          <w:sz w:val="24"/>
          <w:szCs w:val="24"/>
          <w:lang w:val="en-US" w:eastAsia="zh-CN"/>
        </w:rPr>
      </w:pPr>
      <w:r>
        <w:rPr>
          <w:rFonts w:hint="eastAsia" w:ascii="宋体" w:hAnsi="宋体" w:eastAsia="宋体" w:cs="宋体"/>
          <w:spacing w:val="-6"/>
          <w:sz w:val="24"/>
          <w:szCs w:val="24"/>
          <w:lang w:val="en-US" w:eastAsia="zh-CN"/>
        </w:rPr>
        <w:t>5.其他事项。完成上级领导交办的其他 工作定期总结工作经验，提升服务影响力和示范性。</w:t>
      </w:r>
    </w:p>
    <w:p w14:paraId="467EC6C6">
      <w:pPr>
        <w:keepNext w:val="0"/>
        <w:keepLines w:val="0"/>
        <w:pageBreakBefore w:val="0"/>
        <w:widowControl w:val="0"/>
        <w:kinsoku/>
        <w:wordWrap/>
        <w:overflowPunct/>
        <w:topLinePunct w:val="0"/>
        <w:autoSpaceDE/>
        <w:autoSpaceDN/>
        <w:bidi w:val="0"/>
        <w:adjustRightInd/>
        <w:snapToGrid w:val="0"/>
        <w:spacing w:line="560" w:lineRule="exact"/>
        <w:ind w:firstLine="456" w:firstLineChars="200"/>
        <w:textAlignment w:val="auto"/>
        <w:rPr>
          <w:rFonts w:hint="eastAsia" w:ascii="宋体" w:hAnsi="宋体" w:eastAsia="宋体" w:cs="宋体"/>
          <w:sz w:val="24"/>
          <w:szCs w:val="24"/>
          <w:lang w:val="en-US" w:eastAsia="zh-CN"/>
        </w:rPr>
      </w:pPr>
      <w:r>
        <w:rPr>
          <w:rFonts w:hint="eastAsia" w:ascii="宋体" w:hAnsi="宋体" w:eastAsia="宋体" w:cs="宋体"/>
          <w:spacing w:val="-6"/>
          <w:sz w:val="24"/>
          <w:szCs w:val="24"/>
          <w:lang w:val="en-US" w:eastAsia="zh-CN"/>
        </w:rPr>
        <w:t xml:space="preserve">5大项服务内容25服务指标（详见附件：渭南市救助管理站2025-2026年度购买未成年人救助保护社会工作服务内容）。 </w:t>
      </w:r>
    </w:p>
    <w:p w14:paraId="64DD0ACE">
      <w:pPr>
        <w:keepNext w:val="0"/>
        <w:keepLines w:val="0"/>
        <w:pageBreakBefore w:val="0"/>
        <w:widowControl w:val="0"/>
        <w:kinsoku/>
        <w:wordWrap/>
        <w:overflowPunct/>
        <w:topLinePunct w:val="0"/>
        <w:autoSpaceDE/>
        <w:autoSpaceDN/>
        <w:bidi w:val="0"/>
        <w:adjustRightInd/>
        <w:snapToGrid/>
        <w:spacing w:line="56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四、服务金额</w:t>
      </w:r>
      <w:r>
        <w:rPr>
          <w:rFonts w:hint="eastAsia" w:ascii="宋体" w:hAnsi="宋体" w:eastAsia="宋体" w:cs="宋体"/>
          <w:b/>
          <w:bCs/>
          <w:sz w:val="24"/>
          <w:szCs w:val="24"/>
        </w:rPr>
        <w:t>与拨付方式</w:t>
      </w:r>
    </w:p>
    <w:p w14:paraId="057DE46D">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(一)服务经费</w:t>
      </w:r>
    </w:p>
    <w:p w14:paraId="646A55B7">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甲方对</w:t>
      </w:r>
      <w:r>
        <w:rPr>
          <w:rFonts w:hint="eastAsia" w:ascii="宋体" w:hAnsi="宋体" w:eastAsia="宋体" w:cs="宋体"/>
          <w:sz w:val="24"/>
          <w:szCs w:val="24"/>
          <w:lang w:val="en-US" w:eastAsia="zh-CN"/>
        </w:rPr>
        <w:t>渭南市救助管理站购买2025-2026年度未成年人救助保护社会工作服务</w:t>
      </w:r>
      <w:r>
        <w:rPr>
          <w:rFonts w:hint="eastAsia" w:ascii="宋体" w:hAnsi="宋体" w:eastAsia="宋体" w:cs="宋体"/>
          <w:sz w:val="24"/>
          <w:szCs w:val="24"/>
        </w:rPr>
        <w:t>提供为期</w:t>
      </w:r>
      <w:r>
        <w:rPr>
          <w:rFonts w:hint="eastAsia" w:ascii="宋体" w:hAnsi="宋体" w:eastAsia="宋体" w:cs="宋体"/>
          <w:sz w:val="24"/>
          <w:szCs w:val="24"/>
          <w:lang w:val="en-US" w:eastAsia="zh-CN"/>
        </w:rPr>
        <w:t>12个月</w:t>
      </w:r>
      <w:r>
        <w:rPr>
          <w:rFonts w:hint="eastAsia" w:ascii="宋体" w:hAnsi="宋体" w:eastAsia="宋体" w:cs="宋体"/>
          <w:sz w:val="24"/>
          <w:szCs w:val="24"/>
        </w:rPr>
        <w:t>的服务经费共计</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万元。</w:t>
      </w:r>
    </w:p>
    <w:p w14:paraId="6426CA57">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报价为总价包干形式</w:t>
      </w:r>
      <w:r>
        <w:rPr>
          <w:rFonts w:hint="eastAsia" w:ascii="宋体" w:hAnsi="宋体" w:eastAsia="宋体" w:cs="宋体"/>
          <w:sz w:val="24"/>
          <w:szCs w:val="24"/>
          <w:lang w:eastAsia="zh-CN"/>
        </w:rPr>
        <w:t>，</w:t>
      </w:r>
      <w:r>
        <w:rPr>
          <w:rFonts w:hint="eastAsia" w:ascii="宋体" w:hAnsi="宋体" w:eastAsia="宋体" w:cs="宋体"/>
          <w:sz w:val="24"/>
          <w:szCs w:val="24"/>
        </w:rPr>
        <w:t>报价为完成服务内容的全包价</w:t>
      </w:r>
      <w:r>
        <w:rPr>
          <w:rFonts w:hint="eastAsia" w:ascii="宋体" w:hAnsi="宋体" w:eastAsia="宋体" w:cs="宋体"/>
          <w:sz w:val="24"/>
          <w:szCs w:val="24"/>
          <w:lang w:eastAsia="zh-CN"/>
        </w:rPr>
        <w:t>，</w:t>
      </w:r>
      <w:r>
        <w:rPr>
          <w:rFonts w:hint="eastAsia" w:ascii="宋体" w:hAnsi="宋体" w:eastAsia="宋体" w:cs="宋体"/>
          <w:sz w:val="24"/>
          <w:szCs w:val="24"/>
        </w:rPr>
        <w:t>包括但不限于含税、服务费、评估费、</w:t>
      </w:r>
      <w:r>
        <w:rPr>
          <w:rFonts w:hint="eastAsia" w:ascii="宋体" w:hAnsi="宋体" w:eastAsia="宋体" w:cs="宋体"/>
          <w:color w:val="auto"/>
          <w:sz w:val="24"/>
          <w:szCs w:val="24"/>
          <w:lang w:val="en-US" w:eastAsia="zh-CN"/>
        </w:rPr>
        <w:t>督导费、</w:t>
      </w:r>
      <w:r>
        <w:rPr>
          <w:rFonts w:hint="eastAsia" w:ascii="宋体" w:hAnsi="宋体" w:eastAsia="宋体" w:cs="宋体"/>
          <w:color w:val="auto"/>
          <w:sz w:val="24"/>
          <w:szCs w:val="24"/>
        </w:rPr>
        <w:t>工</w:t>
      </w:r>
      <w:r>
        <w:rPr>
          <w:rFonts w:hint="eastAsia" w:ascii="宋体" w:hAnsi="宋体" w:eastAsia="宋体" w:cs="宋体"/>
          <w:sz w:val="24"/>
          <w:szCs w:val="24"/>
        </w:rPr>
        <w:t>作(管理)人员经费、交通费、培训费、保险费等一切可预见和不可预见的费用。除双方另有约定外</w:t>
      </w:r>
      <w:r>
        <w:rPr>
          <w:rFonts w:hint="eastAsia" w:ascii="宋体" w:hAnsi="宋体" w:eastAsia="宋体" w:cs="宋体"/>
          <w:sz w:val="24"/>
          <w:szCs w:val="24"/>
          <w:lang w:eastAsia="zh-CN"/>
        </w:rPr>
        <w:t>，</w:t>
      </w:r>
      <w:r>
        <w:rPr>
          <w:rFonts w:hint="eastAsia" w:ascii="宋体" w:hAnsi="宋体" w:eastAsia="宋体" w:cs="宋体"/>
          <w:sz w:val="24"/>
          <w:szCs w:val="24"/>
        </w:rPr>
        <w:t>甲方不再向乙方或者第三方支付任何费用。</w:t>
      </w:r>
    </w:p>
    <w:p w14:paraId="0C59FE0D">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2、甲方采用银行转账的方式向乙方付款。</w:t>
      </w:r>
    </w:p>
    <w:p w14:paraId="5462734E">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乙方指定收款信息如下：</w:t>
      </w:r>
    </w:p>
    <w:p w14:paraId="3BB13B5A">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账户名称：</w:t>
      </w:r>
    </w:p>
    <w:p w14:paraId="5A30647E">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开户银行：</w:t>
      </w:r>
    </w:p>
    <w:p w14:paraId="6C02BB4B">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账号：</w:t>
      </w:r>
    </w:p>
    <w:p w14:paraId="32B6BDAB">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乙方确保上述收款账户的真实性、准确性</w:t>
      </w:r>
      <w:r>
        <w:rPr>
          <w:rFonts w:hint="eastAsia" w:ascii="宋体" w:hAnsi="宋体" w:eastAsia="宋体" w:cs="宋体"/>
          <w:sz w:val="24"/>
          <w:szCs w:val="24"/>
          <w:lang w:eastAsia="zh-CN"/>
        </w:rPr>
        <w:t>，</w:t>
      </w:r>
      <w:r>
        <w:rPr>
          <w:rFonts w:hint="eastAsia" w:ascii="宋体" w:hAnsi="宋体" w:eastAsia="宋体" w:cs="宋体"/>
          <w:sz w:val="24"/>
          <w:szCs w:val="24"/>
        </w:rPr>
        <w:t>甲方向上述账户付款即视为履行完毕本</w:t>
      </w:r>
      <w:r>
        <w:rPr>
          <w:rFonts w:hint="eastAsia" w:ascii="宋体" w:hAnsi="宋体" w:eastAsia="宋体" w:cs="宋体"/>
          <w:sz w:val="24"/>
          <w:szCs w:val="24"/>
          <w:lang w:eastAsia="zh-CN"/>
        </w:rPr>
        <w:t>合同</w:t>
      </w:r>
      <w:r>
        <w:rPr>
          <w:rFonts w:hint="eastAsia" w:ascii="宋体" w:hAnsi="宋体" w:eastAsia="宋体" w:cs="宋体"/>
          <w:sz w:val="24"/>
          <w:szCs w:val="24"/>
        </w:rPr>
        <w:t>项下的付款义务。</w:t>
      </w:r>
    </w:p>
    <w:p w14:paraId="750C0D51">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(二)购买服务经费拨付方式</w:t>
      </w:r>
    </w:p>
    <w:p w14:paraId="7E59CB16">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1、本项目服务经费结合评估分4次拨付：</w:t>
      </w:r>
    </w:p>
    <w:p w14:paraId="075B75A7">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第一笔服务经费在合同生效之日起，达到付款条件起10日内，支付合同总金额的40.00%。 </w:t>
      </w:r>
    </w:p>
    <w:p w14:paraId="6EDC39C4">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第二笔服务经费在完成中期质量评估均合格后，达到付款条件起10日内，支付合同总金额的30.00%。 </w:t>
      </w:r>
    </w:p>
    <w:p w14:paraId="76061606">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第三笔服务经费在第三季度结束后，达到付款条件起10日内，支付合同总金额的20.00%。 </w:t>
      </w:r>
    </w:p>
    <w:p w14:paraId="700258C7">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四笔服务经费在末期评估合格后拨付（末期评估结果为不合格，乙方根据评估意见进行整改，甲方认可整改结果后，拨付剩余购买服务经费；乙方未依约按时整改完毕，或甲方不认可整改结果的，第四笔购买服务经费暂缓支付，暂缓支付期间乙方应继续履行合同项下的服务义务，直至乙方按照甲方要求完成整改并经甲方书面认可整改结果后才予以支付第四笔服务经费），达到付款条件起10日内，支付合同总金额的10.00%。</w:t>
      </w:r>
    </w:p>
    <w:p w14:paraId="3F94FD35">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pacing w:val="-6"/>
          <w:sz w:val="24"/>
          <w:szCs w:val="24"/>
        </w:rPr>
      </w:pPr>
      <w:r>
        <w:rPr>
          <w:rFonts w:hint="eastAsia" w:ascii="宋体" w:hAnsi="宋体" w:eastAsia="宋体" w:cs="宋体"/>
          <w:color w:val="auto"/>
          <w:sz w:val="24"/>
          <w:szCs w:val="24"/>
          <w:lang w:val="en-US" w:eastAsia="zh-CN"/>
        </w:rPr>
        <w:t xml:space="preserve"> </w:t>
      </w:r>
      <w:r>
        <w:rPr>
          <w:rFonts w:hint="eastAsia" w:ascii="宋体" w:hAnsi="宋体" w:eastAsia="宋体" w:cs="宋体"/>
          <w:spacing w:val="-6"/>
          <w:sz w:val="24"/>
          <w:szCs w:val="24"/>
          <w:lang w:val="en-US" w:eastAsia="zh-CN"/>
        </w:rPr>
        <w:t>2、</w:t>
      </w:r>
      <w:r>
        <w:rPr>
          <w:rFonts w:hint="eastAsia" w:ascii="宋体" w:hAnsi="宋体" w:eastAsia="宋体" w:cs="宋体"/>
          <w:spacing w:val="-6"/>
          <w:sz w:val="24"/>
          <w:szCs w:val="24"/>
        </w:rPr>
        <w:t>甲方支付上述各期款项前</w:t>
      </w:r>
      <w:r>
        <w:rPr>
          <w:rFonts w:hint="eastAsia" w:ascii="宋体" w:hAnsi="宋体" w:eastAsia="宋体" w:cs="宋体"/>
          <w:spacing w:val="-6"/>
          <w:sz w:val="24"/>
          <w:szCs w:val="24"/>
          <w:lang w:eastAsia="zh-CN"/>
        </w:rPr>
        <w:t>，</w:t>
      </w:r>
      <w:r>
        <w:rPr>
          <w:rFonts w:hint="eastAsia" w:ascii="宋体" w:hAnsi="宋体" w:eastAsia="宋体" w:cs="宋体"/>
          <w:spacing w:val="-6"/>
          <w:sz w:val="24"/>
          <w:szCs w:val="24"/>
        </w:rPr>
        <w:t>乙方应向甲方开具并交付与付款额等额的发票</w:t>
      </w:r>
      <w:r>
        <w:rPr>
          <w:rFonts w:hint="eastAsia" w:ascii="宋体" w:hAnsi="宋体" w:eastAsia="宋体" w:cs="宋体"/>
          <w:spacing w:val="-6"/>
          <w:sz w:val="24"/>
          <w:szCs w:val="24"/>
          <w:lang w:eastAsia="zh-CN"/>
        </w:rPr>
        <w:t>。</w:t>
      </w:r>
      <w:r>
        <w:rPr>
          <w:rFonts w:hint="eastAsia" w:ascii="宋体" w:hAnsi="宋体" w:eastAsia="宋体" w:cs="宋体"/>
          <w:spacing w:val="-6"/>
          <w:sz w:val="24"/>
          <w:szCs w:val="24"/>
        </w:rPr>
        <w:t>甲方在收到乙方提供的合格发票后支付该期款项</w:t>
      </w:r>
      <w:r>
        <w:rPr>
          <w:rFonts w:hint="eastAsia" w:ascii="宋体" w:hAnsi="宋体" w:eastAsia="宋体" w:cs="宋体"/>
          <w:spacing w:val="-6"/>
          <w:sz w:val="24"/>
          <w:szCs w:val="24"/>
          <w:lang w:eastAsia="zh-CN"/>
        </w:rPr>
        <w:t>，</w:t>
      </w:r>
      <w:r>
        <w:rPr>
          <w:rFonts w:hint="eastAsia" w:ascii="宋体" w:hAnsi="宋体" w:eastAsia="宋体" w:cs="宋体"/>
          <w:spacing w:val="-6"/>
          <w:sz w:val="24"/>
          <w:szCs w:val="24"/>
        </w:rPr>
        <w:t>因乙方迟延提供发票的</w:t>
      </w:r>
      <w:r>
        <w:rPr>
          <w:rFonts w:hint="eastAsia" w:ascii="宋体" w:hAnsi="宋体" w:eastAsia="宋体" w:cs="宋体"/>
          <w:spacing w:val="-6"/>
          <w:sz w:val="24"/>
          <w:szCs w:val="24"/>
          <w:lang w:eastAsia="zh-CN"/>
        </w:rPr>
        <w:t>，</w:t>
      </w:r>
      <w:r>
        <w:rPr>
          <w:rFonts w:hint="eastAsia" w:ascii="宋体" w:hAnsi="宋体" w:eastAsia="宋体" w:cs="宋体"/>
          <w:spacing w:val="-6"/>
          <w:sz w:val="24"/>
          <w:szCs w:val="24"/>
        </w:rPr>
        <w:t>甲方付款时间相应顺延且不承担逾期付款的违约责任</w:t>
      </w:r>
      <w:r>
        <w:rPr>
          <w:rFonts w:hint="eastAsia" w:ascii="宋体" w:hAnsi="宋体" w:eastAsia="宋体" w:cs="宋体"/>
          <w:spacing w:val="-6"/>
          <w:sz w:val="24"/>
          <w:szCs w:val="24"/>
          <w:lang w:eastAsia="zh-CN"/>
        </w:rPr>
        <w:t>，</w:t>
      </w:r>
      <w:r>
        <w:rPr>
          <w:rFonts w:hint="eastAsia" w:ascii="宋体" w:hAnsi="宋体" w:eastAsia="宋体" w:cs="宋体"/>
          <w:spacing w:val="-6"/>
          <w:sz w:val="24"/>
          <w:szCs w:val="24"/>
        </w:rPr>
        <w:t>乙方不得以此为由怠于或拒绝</w:t>
      </w:r>
      <w:r>
        <w:rPr>
          <w:rFonts w:hint="eastAsia" w:ascii="宋体" w:hAnsi="宋体" w:eastAsia="宋体" w:cs="宋体"/>
          <w:spacing w:val="-6"/>
          <w:sz w:val="24"/>
          <w:szCs w:val="24"/>
          <w:lang w:val="en-US" w:eastAsia="zh-CN"/>
        </w:rPr>
        <w:t>履</w:t>
      </w:r>
      <w:r>
        <w:rPr>
          <w:rFonts w:hint="eastAsia" w:ascii="宋体" w:hAnsi="宋体" w:eastAsia="宋体" w:cs="宋体"/>
          <w:spacing w:val="-6"/>
          <w:sz w:val="24"/>
          <w:szCs w:val="24"/>
        </w:rPr>
        <w:t>行本</w:t>
      </w:r>
      <w:r>
        <w:rPr>
          <w:rFonts w:hint="eastAsia" w:ascii="宋体" w:hAnsi="宋体" w:eastAsia="宋体" w:cs="宋体"/>
          <w:spacing w:val="-6"/>
          <w:sz w:val="24"/>
          <w:szCs w:val="24"/>
          <w:lang w:eastAsia="zh-CN"/>
        </w:rPr>
        <w:t>合同</w:t>
      </w:r>
      <w:r>
        <w:rPr>
          <w:rFonts w:hint="eastAsia" w:ascii="宋体" w:hAnsi="宋体" w:eastAsia="宋体" w:cs="宋体"/>
          <w:spacing w:val="-6"/>
          <w:sz w:val="24"/>
          <w:szCs w:val="24"/>
        </w:rPr>
        <w:t>的义务。</w:t>
      </w:r>
    </w:p>
    <w:p w14:paraId="7EC349AD">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本条规定的付款时间为甲方向上级主管部门提出办理支付申请手续的时间(不含上级主管部门审核的时间)</w:t>
      </w:r>
      <w:r>
        <w:rPr>
          <w:rFonts w:hint="eastAsia" w:ascii="宋体" w:hAnsi="宋体" w:eastAsia="宋体" w:cs="宋体"/>
          <w:sz w:val="24"/>
          <w:szCs w:val="24"/>
          <w:lang w:eastAsia="zh-CN"/>
        </w:rPr>
        <w:t>，</w:t>
      </w:r>
      <w:r>
        <w:rPr>
          <w:rFonts w:hint="eastAsia" w:ascii="宋体" w:hAnsi="宋体" w:eastAsia="宋体" w:cs="宋体"/>
          <w:sz w:val="24"/>
          <w:szCs w:val="24"/>
        </w:rPr>
        <w:t>非款项实际支付到账的时间</w:t>
      </w:r>
      <w:r>
        <w:rPr>
          <w:rFonts w:hint="eastAsia" w:ascii="宋体" w:hAnsi="宋体" w:eastAsia="宋体" w:cs="宋体"/>
          <w:sz w:val="24"/>
          <w:szCs w:val="24"/>
          <w:lang w:eastAsia="zh-CN"/>
        </w:rPr>
        <w:t>，</w:t>
      </w:r>
      <w:r>
        <w:rPr>
          <w:rFonts w:hint="eastAsia" w:ascii="宋体" w:hAnsi="宋体" w:eastAsia="宋体" w:cs="宋体"/>
          <w:sz w:val="24"/>
          <w:szCs w:val="24"/>
        </w:rPr>
        <w:t>甲方在规定时间内提出支付申请手续后即视为甲方已经履行按期支付责任</w:t>
      </w:r>
      <w:r>
        <w:rPr>
          <w:rFonts w:hint="eastAsia" w:ascii="宋体" w:hAnsi="宋体" w:eastAsia="宋体" w:cs="宋体"/>
          <w:sz w:val="24"/>
          <w:szCs w:val="24"/>
          <w:lang w:eastAsia="zh-CN"/>
        </w:rPr>
        <w:t>，</w:t>
      </w:r>
      <w:r>
        <w:rPr>
          <w:rFonts w:hint="eastAsia" w:ascii="宋体" w:hAnsi="宋体" w:eastAsia="宋体" w:cs="宋体"/>
          <w:sz w:val="24"/>
          <w:szCs w:val="24"/>
        </w:rPr>
        <w:t>如因上级主管部门支付流程导致甲方不能在</w:t>
      </w:r>
      <w:r>
        <w:rPr>
          <w:rFonts w:hint="eastAsia" w:ascii="宋体" w:hAnsi="宋体" w:eastAsia="宋体" w:cs="宋体"/>
          <w:sz w:val="24"/>
          <w:szCs w:val="24"/>
          <w:lang w:eastAsia="zh-CN"/>
        </w:rPr>
        <w:t>合同</w:t>
      </w:r>
      <w:r>
        <w:rPr>
          <w:rFonts w:hint="eastAsia" w:ascii="宋体" w:hAnsi="宋体" w:eastAsia="宋体" w:cs="宋体"/>
          <w:sz w:val="24"/>
          <w:szCs w:val="24"/>
        </w:rPr>
        <w:t>约定时间内支付</w:t>
      </w:r>
      <w:r>
        <w:rPr>
          <w:rFonts w:hint="eastAsia" w:ascii="宋体" w:hAnsi="宋体" w:eastAsia="宋体" w:cs="宋体"/>
          <w:sz w:val="24"/>
          <w:szCs w:val="24"/>
          <w:lang w:eastAsia="zh-CN"/>
        </w:rPr>
        <w:t>，</w:t>
      </w:r>
      <w:r>
        <w:rPr>
          <w:rFonts w:hint="eastAsia" w:ascii="宋体" w:hAnsi="宋体" w:eastAsia="宋体" w:cs="宋体"/>
          <w:sz w:val="24"/>
          <w:szCs w:val="24"/>
        </w:rPr>
        <w:t>甲方不承担责任</w:t>
      </w:r>
      <w:r>
        <w:rPr>
          <w:rFonts w:hint="eastAsia" w:ascii="宋体" w:hAnsi="宋体" w:eastAsia="宋体" w:cs="宋体"/>
          <w:sz w:val="24"/>
          <w:szCs w:val="24"/>
          <w:lang w:eastAsia="zh-CN"/>
        </w:rPr>
        <w:t>，</w:t>
      </w:r>
      <w:r>
        <w:rPr>
          <w:rFonts w:hint="eastAsia" w:ascii="宋体" w:hAnsi="宋体" w:eastAsia="宋体" w:cs="宋体"/>
          <w:sz w:val="24"/>
          <w:szCs w:val="24"/>
        </w:rPr>
        <w:t>也不能作为乙方延迟履行或者不履行</w:t>
      </w:r>
      <w:r>
        <w:rPr>
          <w:rFonts w:hint="eastAsia" w:ascii="宋体" w:hAnsi="宋体" w:eastAsia="宋体" w:cs="宋体"/>
          <w:sz w:val="24"/>
          <w:szCs w:val="24"/>
          <w:lang w:eastAsia="zh-CN"/>
        </w:rPr>
        <w:t>合同</w:t>
      </w:r>
      <w:r>
        <w:rPr>
          <w:rFonts w:hint="eastAsia" w:ascii="宋体" w:hAnsi="宋体" w:eastAsia="宋体" w:cs="宋体"/>
          <w:sz w:val="24"/>
          <w:szCs w:val="24"/>
        </w:rPr>
        <w:t>义务的抗辩理由。</w:t>
      </w:r>
    </w:p>
    <w:p w14:paraId="70C298B3">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(三)经费使用</w:t>
      </w:r>
    </w:p>
    <w:p w14:paraId="0A9EA59E">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具体使用按照《政府购买服务管理办法</w:t>
      </w:r>
      <w:r>
        <w:rPr>
          <w:rFonts w:hint="eastAsia" w:ascii="宋体" w:hAnsi="宋体" w:eastAsia="宋体" w:cs="宋体"/>
          <w:sz w:val="24"/>
          <w:szCs w:val="24"/>
          <w:lang w:eastAsia="zh-CN"/>
        </w:rPr>
        <w:t>》</w:t>
      </w:r>
      <w:r>
        <w:rPr>
          <w:rFonts w:hint="eastAsia" w:ascii="宋体" w:hAnsi="宋体" w:eastAsia="宋体" w:cs="宋体"/>
          <w:sz w:val="24"/>
          <w:szCs w:val="24"/>
        </w:rPr>
        <w:t>执行。</w:t>
      </w:r>
    </w:p>
    <w:p w14:paraId="7663BF45">
      <w:pPr>
        <w:keepNext w:val="0"/>
        <w:keepLines w:val="0"/>
        <w:pageBreakBefore w:val="0"/>
        <w:widowControl w:val="0"/>
        <w:kinsoku/>
        <w:wordWrap/>
        <w:overflowPunct/>
        <w:topLinePunct w:val="0"/>
        <w:autoSpaceDE/>
        <w:autoSpaceDN/>
        <w:bidi w:val="0"/>
        <w:adjustRightInd/>
        <w:snapToGrid/>
        <w:spacing w:line="56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五</w:t>
      </w:r>
      <w:r>
        <w:rPr>
          <w:rFonts w:hint="eastAsia" w:ascii="宋体" w:hAnsi="宋体" w:eastAsia="宋体" w:cs="宋体"/>
          <w:b/>
          <w:bCs/>
          <w:sz w:val="24"/>
          <w:szCs w:val="24"/>
        </w:rPr>
        <w:t>、服务人员配置要求</w:t>
      </w:r>
    </w:p>
    <w:p w14:paraId="0A617178">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一</w:t>
      </w:r>
      <w:r>
        <w:rPr>
          <w:rFonts w:hint="eastAsia" w:ascii="宋体" w:hAnsi="宋体" w:eastAsia="宋体" w:cs="宋体"/>
          <w:sz w:val="24"/>
          <w:szCs w:val="24"/>
          <w:lang w:eastAsia="zh-CN"/>
        </w:rPr>
        <w:t>）</w:t>
      </w:r>
      <w:r>
        <w:rPr>
          <w:rFonts w:hint="eastAsia" w:ascii="宋体" w:hAnsi="宋体" w:eastAsia="宋体" w:cs="宋体"/>
          <w:sz w:val="24"/>
          <w:szCs w:val="24"/>
        </w:rPr>
        <w:t>根据本</w:t>
      </w:r>
      <w:r>
        <w:rPr>
          <w:rFonts w:hint="eastAsia" w:ascii="宋体" w:hAnsi="宋体" w:eastAsia="宋体" w:cs="宋体"/>
          <w:sz w:val="24"/>
          <w:szCs w:val="24"/>
          <w:lang w:val="en-US" w:eastAsia="zh-CN"/>
        </w:rPr>
        <w:t>项目</w:t>
      </w:r>
      <w:r>
        <w:rPr>
          <w:rFonts w:hint="eastAsia" w:ascii="宋体" w:hAnsi="宋体" w:eastAsia="宋体" w:cs="宋体"/>
          <w:sz w:val="24"/>
          <w:szCs w:val="24"/>
        </w:rPr>
        <w:t>要求组建一支</w:t>
      </w:r>
      <w:r>
        <w:rPr>
          <w:rFonts w:hint="eastAsia" w:ascii="宋体" w:hAnsi="宋体" w:eastAsia="宋体" w:cs="宋体"/>
          <w:sz w:val="24"/>
          <w:szCs w:val="24"/>
          <w:lang w:val="en-US" w:eastAsia="zh-CN"/>
        </w:rPr>
        <w:t>以</w:t>
      </w:r>
      <w:r>
        <w:rPr>
          <w:rFonts w:hint="eastAsia" w:ascii="宋体" w:hAnsi="宋体" w:eastAsia="宋体" w:cs="宋体"/>
          <w:color w:val="000000"/>
          <w:sz w:val="24"/>
          <w:szCs w:val="24"/>
          <w:lang w:val="en-US" w:eastAsia="zh-CN"/>
        </w:rPr>
        <w:t>社会工作者为主的</w:t>
      </w:r>
      <w:r>
        <w:rPr>
          <w:rFonts w:hint="eastAsia" w:ascii="宋体" w:hAnsi="宋体" w:eastAsia="宋体" w:cs="宋体"/>
          <w:color w:val="000000"/>
          <w:sz w:val="24"/>
          <w:szCs w:val="24"/>
        </w:rPr>
        <w:t>工作团队(团队人员不少于【</w:t>
      </w:r>
      <w:r>
        <w:rPr>
          <w:rFonts w:hint="eastAsia" w:ascii="宋体" w:hAnsi="宋体" w:eastAsia="宋体" w:cs="宋体"/>
          <w:color w:val="000000"/>
          <w:sz w:val="24"/>
          <w:szCs w:val="24"/>
          <w:lang w:val="en-US" w:eastAsia="zh-CN"/>
        </w:rPr>
        <w:t>17</w:t>
      </w:r>
      <w:r>
        <w:rPr>
          <w:rFonts w:hint="eastAsia" w:ascii="宋体" w:hAnsi="宋体" w:eastAsia="宋体" w:cs="宋体"/>
          <w:color w:val="000000"/>
          <w:sz w:val="24"/>
          <w:szCs w:val="24"/>
        </w:rPr>
        <w:t>】人)</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其中负责人不少于</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rPr>
        <w:t>名</w:t>
      </w:r>
      <w:r>
        <w:rPr>
          <w:rFonts w:hint="eastAsia" w:ascii="宋体" w:hAnsi="宋体" w:eastAsia="宋体" w:cs="宋体"/>
          <w:color w:val="000000"/>
          <w:sz w:val="24"/>
          <w:szCs w:val="24"/>
          <w:lang w:val="en-US" w:eastAsia="zh-CN"/>
        </w:rPr>
        <w:t>，</w:t>
      </w:r>
      <w:r>
        <w:rPr>
          <w:rFonts w:hint="eastAsia" w:ascii="宋体" w:hAnsi="宋体" w:eastAsia="宋体" w:cs="宋体"/>
          <w:color w:val="000000"/>
          <w:sz w:val="24"/>
          <w:szCs w:val="24"/>
        </w:rPr>
        <w:t>需</w:t>
      </w:r>
      <w:r>
        <w:rPr>
          <w:rFonts w:hint="eastAsia" w:ascii="宋体" w:hAnsi="宋体" w:eastAsia="宋体" w:cs="宋体"/>
          <w:color w:val="000000"/>
          <w:sz w:val="24"/>
          <w:szCs w:val="24"/>
          <w:lang w:val="en-US" w:eastAsia="zh-CN"/>
        </w:rPr>
        <w:t>是</w:t>
      </w:r>
      <w:r>
        <w:rPr>
          <w:rFonts w:hint="eastAsia" w:ascii="宋体" w:hAnsi="宋体" w:eastAsia="宋体" w:cs="宋体"/>
          <w:color w:val="000000"/>
          <w:sz w:val="24"/>
          <w:szCs w:val="24"/>
        </w:rPr>
        <w:t>中级社工师</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助理级或初级职称工作人员</w:t>
      </w:r>
      <w:r>
        <w:rPr>
          <w:rFonts w:hint="eastAsia" w:ascii="宋体" w:hAnsi="宋体" w:eastAsia="宋体" w:cs="宋体"/>
          <w:color w:val="000000"/>
          <w:sz w:val="24"/>
          <w:szCs w:val="24"/>
        </w:rPr>
        <w:t>不少于</w:t>
      </w:r>
      <w:r>
        <w:rPr>
          <w:rFonts w:hint="eastAsia" w:ascii="宋体" w:hAnsi="宋体" w:eastAsia="宋体" w:cs="宋体"/>
          <w:color w:val="000000"/>
          <w:sz w:val="24"/>
          <w:szCs w:val="24"/>
          <w:lang w:val="en-US" w:eastAsia="zh-CN"/>
        </w:rPr>
        <w:t>8</w:t>
      </w:r>
      <w:r>
        <w:rPr>
          <w:rFonts w:hint="eastAsia" w:ascii="宋体" w:hAnsi="宋体" w:eastAsia="宋体" w:cs="宋体"/>
          <w:color w:val="000000"/>
          <w:sz w:val="24"/>
          <w:szCs w:val="24"/>
        </w:rPr>
        <w:t>名(团队应包括社会工作师、</w:t>
      </w:r>
      <w:r>
        <w:rPr>
          <w:rFonts w:hint="eastAsia" w:ascii="宋体" w:hAnsi="宋体" w:eastAsia="宋体" w:cs="宋体"/>
          <w:color w:val="000000"/>
          <w:sz w:val="24"/>
          <w:szCs w:val="24"/>
          <w:lang w:val="en-US" w:eastAsia="zh-CN"/>
        </w:rPr>
        <w:t>教师或者心理咨询师</w:t>
      </w:r>
      <w:r>
        <w:rPr>
          <w:rFonts w:hint="eastAsia" w:ascii="宋体" w:hAnsi="宋体" w:eastAsia="宋体" w:cs="宋体"/>
          <w:color w:val="000000"/>
          <w:sz w:val="24"/>
          <w:szCs w:val="24"/>
        </w:rPr>
        <w:t>)</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其他专业人员</w:t>
      </w:r>
      <w:r>
        <w:rPr>
          <w:rFonts w:hint="eastAsia" w:ascii="宋体" w:hAnsi="宋体" w:eastAsia="宋体" w:cs="宋体"/>
          <w:color w:val="000000"/>
          <w:sz w:val="24"/>
          <w:szCs w:val="24"/>
          <w:lang w:val="en-US" w:eastAsia="zh-CN"/>
        </w:rPr>
        <w:t>7</w:t>
      </w:r>
      <w:r>
        <w:rPr>
          <w:rFonts w:hint="eastAsia" w:ascii="宋体" w:hAnsi="宋体" w:eastAsia="宋体" w:cs="宋体"/>
          <w:color w:val="000000"/>
          <w:sz w:val="24"/>
          <w:szCs w:val="24"/>
        </w:rPr>
        <w:t>名</w:t>
      </w:r>
      <w:r>
        <w:rPr>
          <w:rFonts w:hint="eastAsia" w:ascii="宋体" w:hAnsi="宋体" w:eastAsia="宋体" w:cs="宋体"/>
          <w:color w:val="000000"/>
          <w:sz w:val="24"/>
          <w:szCs w:val="24"/>
          <w:lang w:val="en-US" w:eastAsia="zh-CN"/>
        </w:rPr>
        <w:t>，</w:t>
      </w:r>
      <w:r>
        <w:rPr>
          <w:rFonts w:hint="eastAsia" w:ascii="宋体" w:hAnsi="宋体" w:eastAsia="宋体" w:cs="宋体"/>
          <w:color w:val="000000"/>
          <w:sz w:val="24"/>
          <w:szCs w:val="24"/>
        </w:rPr>
        <w:t>以上人员须为专职工作人员</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其中临时监护儿童服务不少于10人，男性不少于4人）。本项目具体人员如下表:</w:t>
      </w:r>
    </w:p>
    <w:tbl>
      <w:tblPr>
        <w:tblStyle w:val="10"/>
        <w:tblW w:w="8903"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39"/>
        <w:gridCol w:w="1075"/>
        <w:gridCol w:w="1384"/>
        <w:gridCol w:w="1117"/>
        <w:gridCol w:w="1325"/>
        <w:gridCol w:w="991"/>
        <w:gridCol w:w="1276"/>
        <w:gridCol w:w="996"/>
      </w:tblGrid>
      <w:tr w14:paraId="2CEF4E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8" w:hRule="atLeast"/>
        </w:trPr>
        <w:tc>
          <w:tcPr>
            <w:tcW w:w="739" w:type="dxa"/>
            <w:noWrap w:val="0"/>
            <w:textDirection w:val="tbRlV"/>
            <w:vAlign w:val="top"/>
          </w:tcPr>
          <w:p w14:paraId="4863E185">
            <w:pPr>
              <w:pStyle w:val="9"/>
              <w:spacing w:before="91" w:line="221" w:lineRule="auto"/>
              <w:ind w:left="361"/>
              <w:jc w:val="both"/>
              <w:rPr>
                <w:rFonts w:hint="eastAsia" w:ascii="宋体" w:hAnsi="宋体" w:eastAsia="宋体" w:cs="宋体"/>
                <w:sz w:val="24"/>
                <w:szCs w:val="24"/>
              </w:rPr>
            </w:pPr>
            <w:r>
              <w:rPr>
                <w:rFonts w:hint="eastAsia" w:ascii="宋体" w:hAnsi="宋体" w:eastAsia="宋体" w:cs="宋体"/>
                <w:spacing w:val="-3"/>
                <w:sz w:val="24"/>
                <w:szCs w:val="24"/>
              </w:rPr>
              <w:t>序号</w:t>
            </w:r>
          </w:p>
        </w:tc>
        <w:tc>
          <w:tcPr>
            <w:tcW w:w="1075" w:type="dxa"/>
            <w:noWrap w:val="0"/>
            <w:vAlign w:val="center"/>
          </w:tcPr>
          <w:p w14:paraId="28B737A6">
            <w:pPr>
              <w:pStyle w:val="9"/>
              <w:spacing w:before="91" w:line="221" w:lineRule="auto"/>
              <w:ind w:left="361"/>
              <w:jc w:val="both"/>
              <w:rPr>
                <w:rFonts w:hint="eastAsia" w:ascii="宋体" w:hAnsi="宋体" w:eastAsia="宋体" w:cs="宋体"/>
                <w:sz w:val="24"/>
                <w:szCs w:val="24"/>
              </w:rPr>
            </w:pPr>
            <w:r>
              <w:rPr>
                <w:rFonts w:hint="eastAsia" w:ascii="宋体" w:hAnsi="宋体" w:eastAsia="宋体" w:cs="宋体"/>
                <w:spacing w:val="-3"/>
                <w:sz w:val="24"/>
                <w:szCs w:val="24"/>
              </w:rPr>
              <w:t>姓名</w:t>
            </w:r>
          </w:p>
        </w:tc>
        <w:tc>
          <w:tcPr>
            <w:tcW w:w="1384" w:type="dxa"/>
            <w:noWrap w:val="0"/>
            <w:vAlign w:val="center"/>
          </w:tcPr>
          <w:p w14:paraId="223133EE">
            <w:pPr>
              <w:pStyle w:val="9"/>
              <w:spacing w:before="91" w:line="219" w:lineRule="auto"/>
              <w:ind w:left="436"/>
              <w:jc w:val="both"/>
              <w:rPr>
                <w:rFonts w:hint="eastAsia" w:ascii="宋体" w:hAnsi="宋体" w:eastAsia="宋体" w:cs="宋体"/>
                <w:sz w:val="24"/>
                <w:szCs w:val="24"/>
              </w:rPr>
            </w:pPr>
            <w:r>
              <w:rPr>
                <w:rFonts w:hint="eastAsia" w:ascii="宋体" w:hAnsi="宋体" w:eastAsia="宋体" w:cs="宋体"/>
                <w:spacing w:val="-7"/>
                <w:sz w:val="24"/>
                <w:szCs w:val="24"/>
              </w:rPr>
              <w:t>学历</w:t>
            </w:r>
          </w:p>
        </w:tc>
        <w:tc>
          <w:tcPr>
            <w:tcW w:w="1117" w:type="dxa"/>
            <w:noWrap w:val="0"/>
            <w:vAlign w:val="center"/>
          </w:tcPr>
          <w:p w14:paraId="1D069777">
            <w:pPr>
              <w:pStyle w:val="9"/>
              <w:spacing w:before="92" w:line="220" w:lineRule="auto"/>
              <w:ind w:left="268"/>
              <w:jc w:val="both"/>
              <w:rPr>
                <w:rFonts w:hint="eastAsia" w:ascii="宋体" w:hAnsi="宋体" w:eastAsia="宋体" w:cs="宋体"/>
                <w:sz w:val="24"/>
                <w:szCs w:val="24"/>
              </w:rPr>
            </w:pPr>
            <w:r>
              <w:rPr>
                <w:rFonts w:hint="eastAsia" w:ascii="宋体" w:hAnsi="宋体" w:eastAsia="宋体" w:cs="宋体"/>
                <w:spacing w:val="-5"/>
                <w:sz w:val="24"/>
                <w:szCs w:val="24"/>
              </w:rPr>
              <w:t>专业</w:t>
            </w:r>
          </w:p>
        </w:tc>
        <w:tc>
          <w:tcPr>
            <w:tcW w:w="1325" w:type="dxa"/>
            <w:noWrap w:val="0"/>
            <w:vAlign w:val="top"/>
          </w:tcPr>
          <w:p w14:paraId="409561E1">
            <w:pPr>
              <w:pStyle w:val="9"/>
              <w:spacing w:before="214" w:line="298" w:lineRule="auto"/>
              <w:ind w:left="273" w:right="123" w:hanging="126"/>
              <w:rPr>
                <w:rFonts w:hint="eastAsia" w:ascii="宋体" w:hAnsi="宋体" w:eastAsia="宋体" w:cs="宋体"/>
                <w:sz w:val="24"/>
                <w:szCs w:val="24"/>
              </w:rPr>
            </w:pPr>
            <w:r>
              <w:rPr>
                <w:rFonts w:hint="eastAsia" w:ascii="宋体" w:hAnsi="宋体" w:eastAsia="宋体" w:cs="宋体"/>
                <w:spacing w:val="-5"/>
                <w:sz w:val="24"/>
                <w:szCs w:val="24"/>
              </w:rPr>
              <w:t>资质证书</w:t>
            </w:r>
            <w:r>
              <w:rPr>
                <w:rFonts w:hint="eastAsia" w:ascii="宋体" w:hAnsi="宋体" w:eastAsia="宋体" w:cs="宋体"/>
                <w:spacing w:val="-2"/>
                <w:sz w:val="24"/>
                <w:szCs w:val="24"/>
              </w:rPr>
              <w:t>及编号</w:t>
            </w:r>
          </w:p>
        </w:tc>
        <w:tc>
          <w:tcPr>
            <w:tcW w:w="991" w:type="dxa"/>
            <w:noWrap w:val="0"/>
            <w:vAlign w:val="top"/>
          </w:tcPr>
          <w:p w14:paraId="63CC7B77">
            <w:pPr>
              <w:pStyle w:val="9"/>
              <w:spacing w:before="214" w:line="298" w:lineRule="auto"/>
              <w:ind w:left="228" w:right="210" w:firstLine="3"/>
              <w:rPr>
                <w:rFonts w:hint="eastAsia" w:ascii="宋体" w:hAnsi="宋体" w:eastAsia="宋体" w:cs="宋体"/>
                <w:sz w:val="24"/>
                <w:szCs w:val="24"/>
              </w:rPr>
            </w:pPr>
            <w:r>
              <w:rPr>
                <w:rFonts w:hint="eastAsia" w:ascii="宋体" w:hAnsi="宋体" w:eastAsia="宋体" w:cs="宋体"/>
                <w:spacing w:val="-9"/>
                <w:sz w:val="24"/>
                <w:szCs w:val="24"/>
              </w:rPr>
              <w:t>经验</w:t>
            </w:r>
            <w:r>
              <w:rPr>
                <w:rFonts w:hint="eastAsia" w:ascii="宋体" w:hAnsi="宋体" w:eastAsia="宋体" w:cs="宋体"/>
                <w:spacing w:val="-7"/>
                <w:sz w:val="24"/>
                <w:szCs w:val="24"/>
              </w:rPr>
              <w:t>年限</w:t>
            </w:r>
          </w:p>
        </w:tc>
        <w:tc>
          <w:tcPr>
            <w:tcW w:w="1276" w:type="dxa"/>
            <w:noWrap w:val="0"/>
            <w:vAlign w:val="center"/>
          </w:tcPr>
          <w:p w14:paraId="4F0003A6">
            <w:pPr>
              <w:pStyle w:val="9"/>
              <w:spacing w:before="214" w:line="298" w:lineRule="auto"/>
              <w:ind w:right="41"/>
              <w:jc w:val="center"/>
              <w:rPr>
                <w:rFonts w:hint="eastAsia" w:ascii="宋体" w:hAnsi="宋体" w:eastAsia="宋体" w:cs="宋体"/>
                <w:i/>
                <w:iCs/>
                <w:sz w:val="24"/>
                <w:szCs w:val="24"/>
              </w:rPr>
            </w:pPr>
            <w:r>
              <w:rPr>
                <w:rFonts w:hint="eastAsia" w:ascii="宋体" w:hAnsi="宋体" w:eastAsia="宋体" w:cs="宋体"/>
                <w:i w:val="0"/>
                <w:iCs w:val="0"/>
                <w:spacing w:val="-24"/>
                <w:sz w:val="24"/>
                <w:szCs w:val="24"/>
              </w:rPr>
              <w:t>岗位</w:t>
            </w:r>
            <w:r>
              <w:rPr>
                <w:rFonts w:hint="eastAsia" w:ascii="宋体" w:hAnsi="宋体" w:eastAsia="宋体" w:cs="宋体"/>
                <w:i w:val="0"/>
                <w:iCs w:val="0"/>
                <w:sz w:val="24"/>
                <w:szCs w:val="24"/>
              </w:rPr>
              <w:t>（职务）</w:t>
            </w:r>
          </w:p>
        </w:tc>
        <w:tc>
          <w:tcPr>
            <w:tcW w:w="996" w:type="dxa"/>
            <w:noWrap w:val="0"/>
            <w:vAlign w:val="top"/>
          </w:tcPr>
          <w:p w14:paraId="77E6C7AF">
            <w:pPr>
              <w:pStyle w:val="9"/>
              <w:spacing w:before="214" w:line="298" w:lineRule="auto"/>
              <w:ind w:left="234" w:right="213" w:hanging="12"/>
              <w:rPr>
                <w:rFonts w:hint="eastAsia" w:ascii="宋体" w:hAnsi="宋体" w:eastAsia="宋体" w:cs="宋体"/>
                <w:sz w:val="24"/>
                <w:szCs w:val="24"/>
              </w:rPr>
            </w:pPr>
            <w:r>
              <w:rPr>
                <w:rFonts w:hint="eastAsia" w:ascii="宋体" w:hAnsi="宋体" w:eastAsia="宋体" w:cs="宋体"/>
                <w:spacing w:val="-3"/>
                <w:sz w:val="24"/>
                <w:szCs w:val="24"/>
              </w:rPr>
              <w:t>是否</w:t>
            </w:r>
            <w:r>
              <w:rPr>
                <w:rFonts w:hint="eastAsia" w:ascii="宋体" w:hAnsi="宋体" w:eastAsia="宋体" w:cs="宋体"/>
                <w:spacing w:val="-9"/>
                <w:sz w:val="24"/>
                <w:szCs w:val="24"/>
              </w:rPr>
              <w:t>兼职</w:t>
            </w:r>
          </w:p>
        </w:tc>
      </w:tr>
      <w:tr w14:paraId="2B6227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2" w:hRule="atLeast"/>
        </w:trPr>
        <w:tc>
          <w:tcPr>
            <w:tcW w:w="739" w:type="dxa"/>
            <w:noWrap w:val="0"/>
            <w:vAlign w:val="top"/>
          </w:tcPr>
          <w:p w14:paraId="1FA20C65">
            <w:pPr>
              <w:spacing w:before="260" w:line="187" w:lineRule="auto"/>
              <w:ind w:left="229"/>
              <w:rPr>
                <w:rFonts w:hint="eastAsia" w:ascii="宋体" w:hAnsi="宋体" w:eastAsia="宋体" w:cs="宋体"/>
                <w:sz w:val="24"/>
                <w:szCs w:val="24"/>
              </w:rPr>
            </w:pPr>
            <w:r>
              <w:rPr>
                <w:rFonts w:hint="eastAsia" w:ascii="宋体" w:hAnsi="宋体" w:eastAsia="宋体" w:cs="宋体"/>
                <w:sz w:val="24"/>
                <w:szCs w:val="24"/>
              </w:rPr>
              <w:t>1</w:t>
            </w:r>
          </w:p>
        </w:tc>
        <w:tc>
          <w:tcPr>
            <w:tcW w:w="1075" w:type="dxa"/>
            <w:noWrap w:val="0"/>
            <w:vAlign w:val="top"/>
          </w:tcPr>
          <w:p w14:paraId="46F8E03A">
            <w:pPr>
              <w:rPr>
                <w:rFonts w:hint="eastAsia" w:ascii="宋体" w:hAnsi="宋体" w:eastAsia="宋体" w:cs="宋体"/>
                <w:sz w:val="24"/>
                <w:szCs w:val="24"/>
              </w:rPr>
            </w:pPr>
          </w:p>
        </w:tc>
        <w:tc>
          <w:tcPr>
            <w:tcW w:w="1384" w:type="dxa"/>
            <w:noWrap w:val="0"/>
            <w:vAlign w:val="top"/>
          </w:tcPr>
          <w:p w14:paraId="663EFBF1">
            <w:pPr>
              <w:rPr>
                <w:rFonts w:hint="eastAsia" w:ascii="宋体" w:hAnsi="宋体" w:eastAsia="宋体" w:cs="宋体"/>
                <w:sz w:val="24"/>
                <w:szCs w:val="24"/>
              </w:rPr>
            </w:pPr>
          </w:p>
        </w:tc>
        <w:tc>
          <w:tcPr>
            <w:tcW w:w="1117" w:type="dxa"/>
            <w:noWrap w:val="0"/>
            <w:vAlign w:val="top"/>
          </w:tcPr>
          <w:p w14:paraId="6A0C35B0">
            <w:pPr>
              <w:rPr>
                <w:rFonts w:hint="eastAsia" w:ascii="宋体" w:hAnsi="宋体" w:eastAsia="宋体" w:cs="宋体"/>
                <w:sz w:val="24"/>
                <w:szCs w:val="24"/>
              </w:rPr>
            </w:pPr>
          </w:p>
        </w:tc>
        <w:tc>
          <w:tcPr>
            <w:tcW w:w="1325" w:type="dxa"/>
            <w:noWrap w:val="0"/>
            <w:vAlign w:val="top"/>
          </w:tcPr>
          <w:p w14:paraId="28A451E7">
            <w:pPr>
              <w:rPr>
                <w:rFonts w:hint="eastAsia" w:ascii="宋体" w:hAnsi="宋体" w:eastAsia="宋体" w:cs="宋体"/>
                <w:sz w:val="24"/>
                <w:szCs w:val="24"/>
              </w:rPr>
            </w:pPr>
          </w:p>
        </w:tc>
        <w:tc>
          <w:tcPr>
            <w:tcW w:w="991" w:type="dxa"/>
            <w:noWrap w:val="0"/>
            <w:vAlign w:val="top"/>
          </w:tcPr>
          <w:p w14:paraId="3EB53046">
            <w:pPr>
              <w:rPr>
                <w:rFonts w:hint="eastAsia" w:ascii="宋体" w:hAnsi="宋体" w:eastAsia="宋体" w:cs="宋体"/>
                <w:sz w:val="24"/>
                <w:szCs w:val="24"/>
              </w:rPr>
            </w:pPr>
          </w:p>
        </w:tc>
        <w:tc>
          <w:tcPr>
            <w:tcW w:w="1276" w:type="dxa"/>
            <w:noWrap w:val="0"/>
            <w:vAlign w:val="top"/>
          </w:tcPr>
          <w:p w14:paraId="1331BE9B">
            <w:pPr>
              <w:rPr>
                <w:rFonts w:hint="eastAsia" w:ascii="宋体" w:hAnsi="宋体" w:eastAsia="宋体" w:cs="宋体"/>
                <w:i/>
                <w:iCs/>
                <w:sz w:val="24"/>
                <w:szCs w:val="24"/>
              </w:rPr>
            </w:pPr>
          </w:p>
        </w:tc>
        <w:tc>
          <w:tcPr>
            <w:tcW w:w="996" w:type="dxa"/>
            <w:noWrap w:val="0"/>
            <w:vAlign w:val="top"/>
          </w:tcPr>
          <w:p w14:paraId="0921007C">
            <w:pPr>
              <w:rPr>
                <w:rFonts w:hint="eastAsia" w:ascii="宋体" w:hAnsi="宋体" w:eastAsia="宋体" w:cs="宋体"/>
                <w:sz w:val="24"/>
                <w:szCs w:val="24"/>
              </w:rPr>
            </w:pPr>
          </w:p>
        </w:tc>
      </w:tr>
      <w:tr w14:paraId="7CC2AC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4" w:hRule="atLeast"/>
        </w:trPr>
        <w:tc>
          <w:tcPr>
            <w:tcW w:w="739" w:type="dxa"/>
            <w:noWrap w:val="0"/>
            <w:vAlign w:val="top"/>
          </w:tcPr>
          <w:p w14:paraId="62389DCD">
            <w:pPr>
              <w:spacing w:before="262" w:line="187" w:lineRule="auto"/>
              <w:ind w:left="202"/>
              <w:rPr>
                <w:rFonts w:hint="eastAsia" w:ascii="宋体" w:hAnsi="宋体" w:eastAsia="宋体" w:cs="宋体"/>
                <w:sz w:val="24"/>
                <w:szCs w:val="24"/>
              </w:rPr>
            </w:pPr>
            <w:r>
              <w:rPr>
                <w:rFonts w:hint="eastAsia" w:ascii="宋体" w:hAnsi="宋体" w:eastAsia="宋体" w:cs="宋体"/>
                <w:sz w:val="24"/>
                <w:szCs w:val="24"/>
              </w:rPr>
              <w:t>2</w:t>
            </w:r>
          </w:p>
        </w:tc>
        <w:tc>
          <w:tcPr>
            <w:tcW w:w="1075" w:type="dxa"/>
            <w:noWrap w:val="0"/>
            <w:vAlign w:val="top"/>
          </w:tcPr>
          <w:p w14:paraId="690F337E">
            <w:pPr>
              <w:rPr>
                <w:rFonts w:hint="eastAsia" w:ascii="宋体" w:hAnsi="宋体" w:eastAsia="宋体" w:cs="宋体"/>
                <w:sz w:val="24"/>
                <w:szCs w:val="24"/>
              </w:rPr>
            </w:pPr>
          </w:p>
        </w:tc>
        <w:tc>
          <w:tcPr>
            <w:tcW w:w="1384" w:type="dxa"/>
            <w:noWrap w:val="0"/>
            <w:vAlign w:val="top"/>
          </w:tcPr>
          <w:p w14:paraId="5A5A2522">
            <w:pPr>
              <w:rPr>
                <w:rFonts w:hint="eastAsia" w:ascii="宋体" w:hAnsi="宋体" w:eastAsia="宋体" w:cs="宋体"/>
                <w:sz w:val="24"/>
                <w:szCs w:val="24"/>
              </w:rPr>
            </w:pPr>
          </w:p>
        </w:tc>
        <w:tc>
          <w:tcPr>
            <w:tcW w:w="1117" w:type="dxa"/>
            <w:noWrap w:val="0"/>
            <w:vAlign w:val="top"/>
          </w:tcPr>
          <w:p w14:paraId="1FA3CA8A">
            <w:pPr>
              <w:rPr>
                <w:rFonts w:hint="eastAsia" w:ascii="宋体" w:hAnsi="宋体" w:eastAsia="宋体" w:cs="宋体"/>
                <w:sz w:val="24"/>
                <w:szCs w:val="24"/>
              </w:rPr>
            </w:pPr>
          </w:p>
        </w:tc>
        <w:tc>
          <w:tcPr>
            <w:tcW w:w="1325" w:type="dxa"/>
            <w:noWrap w:val="0"/>
            <w:vAlign w:val="top"/>
          </w:tcPr>
          <w:p w14:paraId="4762A28B">
            <w:pPr>
              <w:rPr>
                <w:rFonts w:hint="eastAsia" w:ascii="宋体" w:hAnsi="宋体" w:eastAsia="宋体" w:cs="宋体"/>
                <w:sz w:val="24"/>
                <w:szCs w:val="24"/>
              </w:rPr>
            </w:pPr>
          </w:p>
        </w:tc>
        <w:tc>
          <w:tcPr>
            <w:tcW w:w="991" w:type="dxa"/>
            <w:noWrap w:val="0"/>
            <w:vAlign w:val="top"/>
          </w:tcPr>
          <w:p w14:paraId="77784F66">
            <w:pPr>
              <w:rPr>
                <w:rFonts w:hint="eastAsia" w:ascii="宋体" w:hAnsi="宋体" w:eastAsia="宋体" w:cs="宋体"/>
                <w:sz w:val="24"/>
                <w:szCs w:val="24"/>
              </w:rPr>
            </w:pPr>
          </w:p>
        </w:tc>
        <w:tc>
          <w:tcPr>
            <w:tcW w:w="1276" w:type="dxa"/>
            <w:noWrap w:val="0"/>
            <w:vAlign w:val="top"/>
          </w:tcPr>
          <w:p w14:paraId="616B21CF">
            <w:pPr>
              <w:rPr>
                <w:rFonts w:hint="eastAsia" w:ascii="宋体" w:hAnsi="宋体" w:eastAsia="宋体" w:cs="宋体"/>
                <w:sz w:val="24"/>
                <w:szCs w:val="24"/>
              </w:rPr>
            </w:pPr>
          </w:p>
        </w:tc>
        <w:tc>
          <w:tcPr>
            <w:tcW w:w="996" w:type="dxa"/>
            <w:noWrap w:val="0"/>
            <w:vAlign w:val="top"/>
          </w:tcPr>
          <w:p w14:paraId="6EF70DD7">
            <w:pPr>
              <w:rPr>
                <w:rFonts w:hint="eastAsia" w:ascii="宋体" w:hAnsi="宋体" w:eastAsia="宋体" w:cs="宋体"/>
                <w:sz w:val="24"/>
                <w:szCs w:val="24"/>
              </w:rPr>
            </w:pPr>
          </w:p>
        </w:tc>
      </w:tr>
    </w:tbl>
    <w:p w14:paraId="0307975D">
      <w:pPr>
        <w:pStyle w:val="4"/>
        <w:keepNext w:val="0"/>
        <w:keepLines w:val="0"/>
        <w:pageBreakBefore w:val="0"/>
        <w:widowControl w:val="0"/>
        <w:kinsoku/>
        <w:wordWrap/>
        <w:overflowPunct/>
        <w:topLinePunct w:val="0"/>
        <w:autoSpaceDE/>
        <w:autoSpaceDN/>
        <w:bidi w:val="0"/>
        <w:adjustRightInd/>
        <w:snapToGrid/>
        <w:spacing w:before="157" w:line="500" w:lineRule="exact"/>
        <w:ind w:left="147" w:right="159" w:firstLine="692"/>
        <w:textAlignment w:val="auto"/>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注：1.负责人及服务人员应与投标时承诺配备的人员一致;未到岗人员应列明所要求的专业、学历、资历证书、经验年限等并明确人员到岗截止期限</w:t>
      </w:r>
      <w:r>
        <w:rPr>
          <w:rFonts w:hint="eastAsia" w:ascii="宋体" w:hAnsi="宋体" w:eastAsia="宋体" w:cs="宋体"/>
          <w:color w:val="auto"/>
          <w:kern w:val="0"/>
          <w:sz w:val="24"/>
          <w:szCs w:val="24"/>
          <w:lang w:val="en-US" w:eastAsia="zh-CN" w:bidi="ar-SA"/>
        </w:rPr>
        <w:t>；2.机构聘任到相应岗位的服务人员需报甲方审核，并</w:t>
      </w:r>
      <w:r>
        <w:rPr>
          <w:rFonts w:hint="eastAsia" w:ascii="宋体" w:hAnsi="宋体" w:eastAsia="宋体" w:cs="宋体"/>
          <w:color w:val="000000"/>
          <w:kern w:val="0"/>
          <w:sz w:val="24"/>
          <w:szCs w:val="24"/>
          <w:lang w:val="en-US" w:eastAsia="zh-CN" w:bidi="ar-SA"/>
        </w:rPr>
        <w:t>应达到《2025-2026年度购买未成年人救助保护社会工作服务预算表》中关于人员配备的基本要求，允许高资质(资历)低聘。</w:t>
      </w:r>
    </w:p>
    <w:p w14:paraId="32679375">
      <w:pPr>
        <w:pStyle w:val="4"/>
        <w:keepNext w:val="0"/>
        <w:keepLines w:val="0"/>
        <w:pageBreakBefore w:val="0"/>
        <w:widowControl w:val="0"/>
        <w:kinsoku/>
        <w:wordWrap/>
        <w:overflowPunct/>
        <w:topLinePunct w:val="0"/>
        <w:autoSpaceDE/>
        <w:autoSpaceDN/>
        <w:bidi w:val="0"/>
        <w:adjustRightInd/>
        <w:snapToGrid/>
        <w:spacing w:before="157" w:line="500" w:lineRule="exact"/>
        <w:ind w:right="159" w:firstLine="480" w:firstLineChars="200"/>
        <w:textAlignment w:val="auto"/>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（二）执行期间，负责人原则上不得变更。乙方如需变动负责人，应至少提前1个月向甲方报备同意并确保岗位人员不空缺，所更换人员资历、学历、专业经验不低于本合同约定该岗位的设置要求。</w:t>
      </w:r>
    </w:p>
    <w:p w14:paraId="09E4F74E">
      <w:pPr>
        <w:pStyle w:val="4"/>
        <w:keepNext w:val="0"/>
        <w:keepLines w:val="0"/>
        <w:pageBreakBefore w:val="0"/>
        <w:widowControl w:val="0"/>
        <w:kinsoku/>
        <w:wordWrap/>
        <w:overflowPunct/>
        <w:topLinePunct w:val="0"/>
        <w:autoSpaceDE/>
        <w:autoSpaceDN/>
        <w:bidi w:val="0"/>
        <w:adjustRightInd/>
        <w:snapToGrid/>
        <w:spacing w:before="157" w:line="500" w:lineRule="exact"/>
        <w:ind w:right="159" w:firstLine="480" w:firstLineChars="200"/>
        <w:textAlignment w:val="auto"/>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（三）执行期间，全职人员在工作时间不得兼职从事与本项目无关的活动。</w:t>
      </w:r>
    </w:p>
    <w:p w14:paraId="38E799AA">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FF0000"/>
          <w:kern w:val="0"/>
          <w:sz w:val="24"/>
          <w:szCs w:val="24"/>
          <w:lang w:val="en-US" w:eastAsia="zh-CN" w:bidi="ar-SA"/>
        </w:rPr>
      </w:pPr>
      <w:r>
        <w:rPr>
          <w:rFonts w:hint="eastAsia" w:ascii="宋体" w:hAnsi="宋体" w:eastAsia="宋体" w:cs="宋体"/>
          <w:color w:val="auto"/>
          <w:kern w:val="0"/>
          <w:sz w:val="24"/>
          <w:szCs w:val="24"/>
          <w:lang w:val="en-US" w:eastAsia="zh-CN" w:bidi="ar-SA"/>
        </w:rPr>
        <w:t>（四）本项目配备的督导支持人员（由甲方指定）应持有高级社会工作师证书，从事儿童方面社会工作不少于5年且取得实践、理论或者学术研究成果。</w:t>
      </w:r>
    </w:p>
    <w:p w14:paraId="7C4035D5">
      <w:pPr>
        <w:keepNext w:val="0"/>
        <w:keepLines w:val="0"/>
        <w:pageBreakBefore w:val="0"/>
        <w:widowControl w:val="0"/>
        <w:kinsoku/>
        <w:wordWrap/>
        <w:overflowPunct/>
        <w:topLinePunct w:val="0"/>
        <w:autoSpaceDE/>
        <w:autoSpaceDN/>
        <w:bidi w:val="0"/>
        <w:adjustRightInd/>
        <w:snapToGrid/>
        <w:spacing w:line="56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六</w:t>
      </w:r>
      <w:r>
        <w:rPr>
          <w:rFonts w:hint="eastAsia" w:ascii="宋体" w:hAnsi="宋体" w:eastAsia="宋体" w:cs="宋体"/>
          <w:b/>
          <w:bCs/>
          <w:color w:val="auto"/>
          <w:sz w:val="24"/>
          <w:szCs w:val="24"/>
        </w:rPr>
        <w:t>、双方权利义务</w:t>
      </w:r>
    </w:p>
    <w:p w14:paraId="57AF456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一</w:t>
      </w:r>
      <w:r>
        <w:rPr>
          <w:rFonts w:hint="eastAsia" w:ascii="宋体" w:hAnsi="宋体" w:eastAsia="宋体" w:cs="宋体"/>
          <w:sz w:val="24"/>
          <w:szCs w:val="24"/>
          <w:lang w:eastAsia="zh-CN"/>
        </w:rPr>
        <w:t>）</w:t>
      </w:r>
      <w:r>
        <w:rPr>
          <w:rFonts w:hint="eastAsia" w:ascii="宋体" w:hAnsi="宋体" w:eastAsia="宋体" w:cs="宋体"/>
          <w:sz w:val="24"/>
          <w:szCs w:val="24"/>
        </w:rPr>
        <w:t>甲方</w:t>
      </w:r>
    </w:p>
    <w:p w14:paraId="2CCF2380">
      <w:pPr>
        <w:keepNext w:val="0"/>
        <w:keepLines w:val="0"/>
        <w:pageBreakBefore w:val="0"/>
        <w:widowControl w:val="0"/>
        <w:kinsoku/>
        <w:wordWrap/>
        <w:overflowPunct/>
        <w:topLinePunct w:val="0"/>
        <w:autoSpaceDE/>
        <w:autoSpaceDN/>
        <w:bidi w:val="0"/>
        <w:adjustRightInd/>
        <w:snapToGrid/>
        <w:spacing w:line="560" w:lineRule="exact"/>
        <w:ind w:firstLine="456"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pacing w:val="-6"/>
          <w:sz w:val="24"/>
          <w:szCs w:val="24"/>
          <w:lang w:val="en-US" w:eastAsia="zh-CN"/>
        </w:rPr>
        <w:t>1、甲方和乙方在合作期间，无偿提供工作场地、儿童救助保护、教育相关的必要硬件设施和设备、并承担其维护维修，为开展后续工作提供所需的条件和环境。</w:t>
      </w:r>
    </w:p>
    <w:p w14:paraId="52CD8E88">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2、甲方负责指导本项目工作，对乙方在项目运作过程中各项工作目标的完成情况、资金使用及各项机制落实情况进行日常监督及评估，必要时提出修改意见和建议。</w:t>
      </w:r>
    </w:p>
    <w:p w14:paraId="48A58B74">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3、根据乙方的要求，积极协调有关部门，协助解决运作中遇到的问题，提供必要的支持和帮助。</w:t>
      </w:r>
    </w:p>
    <w:p w14:paraId="06134533">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4、负责委托第三方社会服务专业机构对乙方进行服务质量评估。根据服务和管理情况、每年进行中期、末期评估，同时全过程不定期进行抽查。</w:t>
      </w:r>
    </w:p>
    <w:p w14:paraId="580EF11A">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5、对乙方开展服务提供必要的协助及便利，包括：业务指导和特定技术支持，有关情况及相关资料的提供。</w:t>
      </w:r>
    </w:p>
    <w:p w14:paraId="15107018">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6、对乙方进行业务督导。</w:t>
      </w:r>
    </w:p>
    <w:p w14:paraId="08208E10">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7、甲方可参与项目工作的开展，所产生的成本费用由甲方承担。</w:t>
      </w:r>
    </w:p>
    <w:p w14:paraId="2854028C">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8、按照合同，及时办理资金拨付手续。</w:t>
      </w:r>
    </w:p>
    <w:p w14:paraId="75E2411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二</w:t>
      </w:r>
      <w:r>
        <w:rPr>
          <w:rFonts w:hint="eastAsia" w:ascii="宋体" w:hAnsi="宋体" w:eastAsia="宋体" w:cs="宋体"/>
          <w:sz w:val="24"/>
          <w:szCs w:val="24"/>
          <w:lang w:eastAsia="zh-CN"/>
        </w:rPr>
        <w:t>）乙方</w:t>
      </w:r>
    </w:p>
    <w:p w14:paraId="411BC98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1、乙方在签订合同生效后30天内未能配齐符合甲方需求的服务人员，则视为乙方主动违约，甲方有权利按照合同第八项违约责任第一条要求乙方承担违约金。</w:t>
      </w:r>
    </w:p>
    <w:p w14:paraId="58D6947E">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sz w:val="24"/>
          <w:szCs w:val="24"/>
          <w:lang w:val="en-US" w:eastAsia="zh-CN"/>
        </w:rPr>
        <w:t>2、乙方应对社工和其他工作人员建立劳动关系，订立和履行劳动合同，支付员工工资、交纳相关的社会保险金等费用并承担劳动用工责任，如乙方工作人员遭受或致使人身损害或财产损失，或如乙方与其工作人员发生劳务纠纷、工伤纠纷，与甲方无关，甲方不承担相应的任何责任，由乙方负责处理并承担责任。</w:t>
      </w:r>
      <w:r>
        <w:rPr>
          <w:rFonts w:hint="eastAsia" w:ascii="宋体" w:hAnsi="宋体" w:eastAsia="宋体" w:cs="宋体"/>
          <w:color w:val="auto"/>
          <w:sz w:val="24"/>
          <w:szCs w:val="24"/>
          <w:lang w:val="en-US" w:eastAsia="zh-CN"/>
        </w:rPr>
        <w:t>用于本项目的人员不得与乙方开展的其他服务混同使用，人员若出现违反职业规范、甲方及乙方工作制度的情况，并给甲方带来不良影响，视为该期考核不合格。</w:t>
      </w:r>
    </w:p>
    <w:p w14:paraId="6F4A2182">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3、乙方不得以任何理由将本合同项下的服务项目转包给第三方承担。</w:t>
      </w:r>
    </w:p>
    <w:p w14:paraId="680BE68D">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4、严格按有关规定管理使用好服务经费及各项费用，专款专用，并接受甲方及有关主管部门的监督。</w:t>
      </w:r>
    </w:p>
    <w:p w14:paraId="2DDD256B">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5、乙方须接受甲方参与、监督和评估工作，配合甲方及其所委托的机构开展日常的例行检查、日常查看及期中、末期评估。</w:t>
      </w:r>
    </w:p>
    <w:p w14:paraId="65EAB15A">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6、在本项目服务过程中，由于乙方的违法违规或不当行为及故意、过失所造成的第三方或(及)甲方损失及有关民事赔偿责任、补偿责任，由乙方负责处理并承担责任。</w:t>
      </w:r>
    </w:p>
    <w:p w14:paraId="55F5CBC6">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在本项目服务过程中，提供与服务对象的精神状态相适应的服务，在服务过程中，服务对象发生的人身伤害、精神损失、侵权等一切法律责任均由乙方自行负责处理并承担责任，由甲方先行支付或偿付的，甲方有权从尚未向乙方支付的任意一笔款项中扣除，不足扣除的部分有权向乙方全额追偿，乙方对此明确知晓并同意。</w:t>
      </w:r>
    </w:p>
    <w:p w14:paraId="5BA0FD76">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8、乙方须按照劳动保障法律法规及有关规定对服务人员进行管理，提供和保障人员接受督导、培训、团建等能力成长机会。</w:t>
      </w:r>
    </w:p>
    <w:p w14:paraId="08B9E9AD">
      <w:pPr>
        <w:keepNext w:val="0"/>
        <w:keepLines w:val="0"/>
        <w:pageBreakBefore w:val="0"/>
        <w:widowControl w:val="0"/>
        <w:kinsoku/>
        <w:wordWrap/>
        <w:overflowPunct/>
        <w:topLinePunct w:val="0"/>
        <w:autoSpaceDE/>
        <w:autoSpaceDN/>
        <w:bidi w:val="0"/>
        <w:adjustRightInd/>
        <w:snapToGrid/>
        <w:spacing w:line="560" w:lineRule="exact"/>
        <w:ind w:firstLine="456" w:firstLineChars="200"/>
        <w:jc w:val="both"/>
        <w:textAlignment w:val="auto"/>
        <w:rPr>
          <w:rFonts w:hint="eastAsia" w:ascii="宋体" w:hAnsi="宋体" w:eastAsia="宋体" w:cs="宋体"/>
          <w:spacing w:val="-6"/>
          <w:sz w:val="24"/>
          <w:szCs w:val="24"/>
          <w:lang w:val="en-US" w:eastAsia="zh-CN"/>
        </w:rPr>
      </w:pPr>
      <w:r>
        <w:rPr>
          <w:rFonts w:hint="eastAsia" w:ascii="宋体" w:hAnsi="宋体" w:eastAsia="宋体" w:cs="宋体"/>
          <w:spacing w:val="-6"/>
          <w:sz w:val="24"/>
          <w:szCs w:val="24"/>
          <w:lang w:val="en-US" w:eastAsia="zh-CN"/>
        </w:rPr>
        <w:t>9、制定安全措施和应急预案，主动接受甲方和相关职能部门的检查监督和指导。</w:t>
      </w:r>
    </w:p>
    <w:p w14:paraId="1B192DBE">
      <w:pPr>
        <w:keepNext w:val="0"/>
        <w:keepLines w:val="0"/>
        <w:pageBreakBefore w:val="0"/>
        <w:widowControl w:val="0"/>
        <w:kinsoku/>
        <w:wordWrap/>
        <w:overflowPunct/>
        <w:topLinePunct w:val="0"/>
        <w:autoSpaceDE/>
        <w:autoSpaceDN/>
        <w:bidi w:val="0"/>
        <w:adjustRightInd/>
        <w:snapToGrid/>
        <w:spacing w:before="54" w:line="560" w:lineRule="exact"/>
        <w:ind w:left="644"/>
        <w:textAlignment w:val="auto"/>
        <w:rPr>
          <w:rFonts w:hint="eastAsia" w:ascii="宋体" w:hAnsi="宋体" w:eastAsia="宋体" w:cs="宋体"/>
          <w:b/>
          <w:bCs/>
          <w:spacing w:val="8"/>
          <w:sz w:val="24"/>
          <w:szCs w:val="24"/>
        </w:rPr>
      </w:pPr>
      <w:r>
        <w:rPr>
          <w:rFonts w:hint="eastAsia" w:ascii="宋体" w:hAnsi="宋体" w:eastAsia="宋体" w:cs="宋体"/>
          <w:b/>
          <w:bCs/>
          <w:spacing w:val="8"/>
          <w:sz w:val="24"/>
          <w:szCs w:val="24"/>
          <w:lang w:val="en-US" w:eastAsia="zh-CN"/>
        </w:rPr>
        <w:t>七</w:t>
      </w:r>
      <w:r>
        <w:rPr>
          <w:rFonts w:hint="eastAsia" w:ascii="宋体" w:hAnsi="宋体" w:eastAsia="宋体" w:cs="宋体"/>
          <w:b/>
          <w:bCs/>
          <w:spacing w:val="8"/>
          <w:sz w:val="24"/>
          <w:szCs w:val="24"/>
        </w:rPr>
        <w:t>、知识产权</w:t>
      </w:r>
    </w:p>
    <w:p w14:paraId="74C36868">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本</w:t>
      </w:r>
      <w:r>
        <w:rPr>
          <w:rFonts w:hint="eastAsia" w:ascii="宋体" w:hAnsi="宋体" w:eastAsia="宋体" w:cs="宋体"/>
          <w:sz w:val="24"/>
          <w:szCs w:val="24"/>
          <w:lang w:val="en-US" w:eastAsia="zh-CN"/>
        </w:rPr>
        <w:t>项目所涉及的服务资料产权归属甲乙双方共同所有，涉及到服务对象专业服务的资料，双方应依据保密制度进行保密，未经双方同意不得提供给其他第三方使用。结束后，乙方应将与本有项目关的服务资料交还甲方。涉及服务对象专业服务资料如个案、小组服务记录过程的资料，应由乙方依据保密制度保管，结束后，甲方可随时依据保密制度流程进行查阅，乙方不得无理由拒绝甲方的查阅要求。</w:t>
      </w:r>
    </w:p>
    <w:p w14:paraId="49349C73">
      <w:pPr>
        <w:keepNext w:val="0"/>
        <w:keepLines w:val="0"/>
        <w:pageBreakBefore w:val="0"/>
        <w:widowControl w:val="0"/>
        <w:kinsoku/>
        <w:wordWrap/>
        <w:overflowPunct/>
        <w:topLinePunct w:val="0"/>
        <w:autoSpaceDE/>
        <w:autoSpaceDN/>
        <w:bidi w:val="0"/>
        <w:adjustRightInd/>
        <w:snapToGrid/>
        <w:spacing w:line="560" w:lineRule="exact"/>
        <w:ind w:firstLine="456" w:firstLineChars="200"/>
        <w:jc w:val="both"/>
        <w:textAlignment w:val="auto"/>
        <w:rPr>
          <w:rFonts w:hint="eastAsia" w:ascii="宋体" w:hAnsi="宋体" w:eastAsia="宋体" w:cs="宋体"/>
          <w:spacing w:val="-6"/>
          <w:sz w:val="24"/>
          <w:szCs w:val="24"/>
          <w:lang w:val="en-US" w:eastAsia="zh-CN"/>
        </w:rPr>
      </w:pPr>
      <w:r>
        <w:rPr>
          <w:rFonts w:hint="eastAsia" w:ascii="宋体" w:hAnsi="宋体" w:eastAsia="宋体" w:cs="宋体"/>
          <w:spacing w:val="-6"/>
          <w:sz w:val="24"/>
          <w:szCs w:val="24"/>
          <w:lang w:val="en-US" w:eastAsia="zh-CN"/>
        </w:rPr>
        <w:t>乙方应保证本项目的投标技术、服务内容或其任何一部分不会产生因第三方提出侵犯其专利权、商标权或其他知识产权而引起的法律和经济纠纷;如因第三方提出其专利权、商标权或其他知识产权的侵权之诉，则一切法律责任由乙方承担。</w:t>
      </w:r>
    </w:p>
    <w:p w14:paraId="24150237">
      <w:pPr>
        <w:keepNext w:val="0"/>
        <w:keepLines w:val="0"/>
        <w:pageBreakBefore w:val="0"/>
        <w:widowControl w:val="0"/>
        <w:kinsoku/>
        <w:wordWrap/>
        <w:overflowPunct/>
        <w:topLinePunct w:val="0"/>
        <w:autoSpaceDE/>
        <w:autoSpaceDN/>
        <w:bidi w:val="0"/>
        <w:adjustRightInd/>
        <w:snapToGrid/>
        <w:spacing w:before="54" w:line="560" w:lineRule="exact"/>
        <w:ind w:left="644"/>
        <w:textAlignment w:val="auto"/>
        <w:rPr>
          <w:rFonts w:hint="eastAsia" w:ascii="宋体" w:hAnsi="宋体" w:eastAsia="宋体" w:cs="宋体"/>
          <w:b/>
          <w:bCs/>
          <w:spacing w:val="8"/>
          <w:sz w:val="24"/>
          <w:szCs w:val="24"/>
        </w:rPr>
      </w:pPr>
      <w:r>
        <w:rPr>
          <w:rFonts w:hint="eastAsia" w:ascii="宋体" w:hAnsi="宋体" w:eastAsia="宋体" w:cs="宋体"/>
          <w:b/>
          <w:bCs/>
          <w:spacing w:val="8"/>
          <w:sz w:val="24"/>
          <w:szCs w:val="24"/>
          <w:lang w:val="en-US" w:eastAsia="zh-CN"/>
        </w:rPr>
        <w:t>八</w:t>
      </w:r>
      <w:r>
        <w:rPr>
          <w:rFonts w:hint="eastAsia" w:ascii="宋体" w:hAnsi="宋体" w:eastAsia="宋体" w:cs="宋体"/>
          <w:b/>
          <w:bCs/>
          <w:spacing w:val="8"/>
          <w:sz w:val="24"/>
          <w:szCs w:val="24"/>
        </w:rPr>
        <w:t>、保密与资料查阅</w:t>
      </w:r>
    </w:p>
    <w:p w14:paraId="11A3EF08">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实施过程中，至乙方正式向甲方交付技术文档资料时止，乙方必须采取措施对本实施过程中的数据、技术文档等资料保密，否则，由于乙方过错导致的上述资料泄密的，乙方必须承担一切责任。完成后甲、乙双方均有责任对本的技术保密承担责任。</w:t>
      </w:r>
    </w:p>
    <w:p w14:paraId="261EFFD3">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未经乙方事先书面同意，甲方不得将由乙方为本合同提供的条文或者资料提供给与本合同无关的任何第三方，不得将其用于履行本合同之外的其他用途。即使向与履行本合同有关的人员提供，也应注意保密并限于履行合同所必需的范围。</w:t>
      </w:r>
    </w:p>
    <w:p w14:paraId="7F937A64">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除了合同本身之外，上款所列举服务信息均为双方共有财产。涉及服务对象保密信息的资料归属乙方保管，甲方依据程序查阅。</w:t>
      </w:r>
    </w:p>
    <w:p w14:paraId="68BBDBF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九、</w:t>
      </w:r>
      <w:r>
        <w:rPr>
          <w:rFonts w:hint="eastAsia" w:ascii="宋体" w:hAnsi="宋体" w:eastAsia="宋体" w:cs="宋体"/>
          <w:b/>
          <w:bCs/>
          <w:sz w:val="24"/>
          <w:szCs w:val="24"/>
        </w:rPr>
        <w:t>违约责任</w:t>
      </w:r>
    </w:p>
    <w:p w14:paraId="40667CFB">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（一）除本合同另有约定外，乙方如违反本合同任一条款约定的，应当按服务经费总额的20%向甲方支付违约金，如给甲方造成实际损失的，乙方还应赔偿甲方损失。</w:t>
      </w:r>
    </w:p>
    <w:p w14:paraId="03ECC235">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如乙方擅自单方面中止或终止本服务合同，应向甲方全额返还已支付款项，并应按照本条第一款内容向甲方承担违约责任。乙方违反本合同及附件的规定，或所提供的服务未达到合同及附件的要求，甲方书面提出整改通知，乙方未按要求及时整改的，累计达三次，甲方有权终止本合同，由此造成甲方的经济损失，乙方应给予赔偿，并应按照本条第一款内容向甲方承担违约责任。</w:t>
      </w:r>
    </w:p>
    <w:p w14:paraId="401A2A6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（三）如乙方未经同意，将本合同下乙方的义务部分或全部委托给第三方实施，甲方有权终止合同并要求乙方按照本条第一款内容向甲方承担违约责任。</w:t>
      </w:r>
    </w:p>
    <w:p w14:paraId="5F96EDBB">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四）本合同履行过程中，未经甲方书面同意乙方不得擅自更换本合同第四条第(二)款第1项的负责人及服务人员，如确需更换必须提前1个月上报甲方，征得其书面同意后方允许更换，更换人员的资质、能力不得低于原人员要求。乙方所提供的服务人员在服务过程中如因业务素质低而不能胜任工作的，甲方有权要求撤换。在收到甲方撤换通知的15天内，乙方应按要求更换相应岗位的服务人员，更换人员的资质不得低于原人员要求。若擅自更换本合同负责人或工作人员，或者未按甲方要求在甲方限定的时间内更换不合格、不符合甲方要求的人员，视为乙方违约，甲方按照本条第一款内容要求乙方承担违约责任。乙方配备服务人员的稳定率控制在60%内。</w:t>
      </w:r>
    </w:p>
    <w:p w14:paraId="61F8A7E9">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五）因乙方失责、管理不当等造成殴打、严重体罚、虐童、辱骂儿童、儿童逃跑、自残等事件给甲方造成不良影响的，甲方有权要求乙方立即整改，按照实际损失承担赔偿责任，整改期内整改不到位的，视情况终止合同，并要求乙方按照本条第一款内容承担违约责任。</w:t>
      </w:r>
    </w:p>
    <w:p w14:paraId="0BA64886">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六）乙方用于本项目的人员不得与乙方开展的其他服务混同使用，或因乙方及其工作人员在履行本合同项下的义务时违反相应法律法规、职业规范及甲方工作制度，给甲方造成不良影响的，视为该期考核不合格，且甲方有权终止合同并要求乙方按照本条第一款内容承担违约责任。</w:t>
      </w:r>
    </w:p>
    <w:p w14:paraId="1446D902">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（七）因渭南市财政体制改革或其他不可抗力导致中或者本合同相关政策原因如政府取消本合同项下服务，或取消本合同项下经费预算的，均不属于甲方违约，双方结合合同履行情况另行协商结算事宜。</w:t>
      </w:r>
    </w:p>
    <w:p w14:paraId="6541D139">
      <w:pPr>
        <w:keepNext w:val="0"/>
        <w:keepLines w:val="0"/>
        <w:pageBreakBefore w:val="0"/>
        <w:widowControl w:val="0"/>
        <w:kinsoku/>
        <w:wordWrap/>
        <w:overflowPunct/>
        <w:topLinePunct w:val="0"/>
        <w:autoSpaceDE/>
        <w:autoSpaceDN/>
        <w:bidi w:val="0"/>
        <w:adjustRightInd/>
        <w:snapToGrid/>
        <w:spacing w:line="56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十</w:t>
      </w:r>
      <w:r>
        <w:rPr>
          <w:rFonts w:hint="eastAsia" w:ascii="宋体" w:hAnsi="宋体" w:eastAsia="宋体" w:cs="宋体"/>
          <w:b/>
          <w:bCs/>
          <w:sz w:val="24"/>
          <w:szCs w:val="24"/>
        </w:rPr>
        <w:t>、争议解决</w:t>
      </w:r>
    </w:p>
    <w:p w14:paraId="2EAE3859">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（一）合同执行过程中发生的任何争议，如双方不能通过友好协商解决，应向甲方所在地的人民法院提起诉讼。</w:t>
      </w:r>
    </w:p>
    <w:p w14:paraId="238EE1AC">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（二）在法院审理期间，除提交法院审理的事项外，合同其他事项和条款仍应继续履行。</w:t>
      </w:r>
    </w:p>
    <w:p w14:paraId="365ECA63">
      <w:pPr>
        <w:keepNext w:val="0"/>
        <w:keepLines w:val="0"/>
        <w:pageBreakBefore w:val="0"/>
        <w:widowControl w:val="0"/>
        <w:kinsoku/>
        <w:wordWrap/>
        <w:overflowPunct/>
        <w:topLinePunct w:val="0"/>
        <w:autoSpaceDE/>
        <w:autoSpaceDN/>
        <w:bidi w:val="0"/>
        <w:adjustRightInd/>
        <w:snapToGrid/>
        <w:spacing w:line="56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十一</w:t>
      </w:r>
      <w:r>
        <w:rPr>
          <w:rFonts w:hint="eastAsia" w:ascii="宋体" w:hAnsi="宋体" w:eastAsia="宋体" w:cs="宋体"/>
          <w:b/>
          <w:bCs/>
          <w:sz w:val="24"/>
          <w:szCs w:val="24"/>
        </w:rPr>
        <w:t>、</w:t>
      </w:r>
      <w:r>
        <w:rPr>
          <w:rFonts w:hint="eastAsia" w:ascii="宋体" w:hAnsi="宋体" w:eastAsia="宋体" w:cs="宋体"/>
          <w:b/>
          <w:bCs/>
          <w:sz w:val="24"/>
          <w:szCs w:val="24"/>
          <w:lang w:eastAsia="zh-CN"/>
        </w:rPr>
        <w:t>合同</w:t>
      </w:r>
      <w:r>
        <w:rPr>
          <w:rFonts w:hint="eastAsia" w:ascii="宋体" w:hAnsi="宋体" w:eastAsia="宋体" w:cs="宋体"/>
          <w:b/>
          <w:bCs/>
          <w:sz w:val="24"/>
          <w:szCs w:val="24"/>
        </w:rPr>
        <w:t>生效及其他事项</w:t>
      </w:r>
    </w:p>
    <w:p w14:paraId="5CE13067">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甲、乙双方均一致认可，本项目的招投标文件、需求书等以及甲乙双方协商一致所形成的补充合同作为本合同不可分割的一部分，与本合同正文具有同等法律效力。本项目的招投标文件、需求书等招投标过程中形成的文件，与本合同约定不一致的，按照本合同的约定执行。补充合同与本合同不一致的，按照补充合同约定执行，补充合同未尽事宜，仍按照本合同约定执行。</w:t>
      </w:r>
    </w:p>
    <w:p w14:paraId="018796B3">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（二）根据我市有关财政资金的管理规定，以及项目需求书内容对本项目进行绩效评价、考核评估及奖惩。</w:t>
      </w:r>
    </w:p>
    <w:p w14:paraId="4215D540">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（三）本合同项下的“损失”，包括因一方违约，守约方支付的赔偿款、补偿款、医疗费、诉讼费、律师费、差旅费、调查取证费、保全费等全部费用。</w:t>
      </w:r>
    </w:p>
    <w:p w14:paraId="2565C152">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（四）本合同一式四份，甲、乙双方各执两份，具有同等法律效力。本合同自双方法定代表人或授权代表人签字并加盖公章之日起生效。</w:t>
      </w:r>
    </w:p>
    <w:p w14:paraId="567AA403">
      <w:pPr>
        <w:keepNext w:val="0"/>
        <w:keepLines w:val="0"/>
        <w:pageBreakBefore w:val="0"/>
        <w:widowControl w:val="0"/>
        <w:kinsoku/>
        <w:wordWrap/>
        <w:overflowPunct/>
        <w:topLinePunct w:val="0"/>
        <w:autoSpaceDE/>
        <w:autoSpaceDN/>
        <w:bidi w:val="0"/>
        <w:adjustRightInd/>
        <w:snapToGrid/>
        <w:spacing w:line="560" w:lineRule="exact"/>
        <w:ind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十二、下列文件为本合同不可分割部分</w:t>
      </w:r>
    </w:p>
    <w:p w14:paraId="7231EF82">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1.中标（成交）通知书。</w:t>
      </w:r>
    </w:p>
    <w:p w14:paraId="06E89480">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2.磋商文件、成交供应商的磋商响应文件及其在评标过程中做出的有关澄清、说明、承诺或者补正文件及本合同附件。</w:t>
      </w:r>
    </w:p>
    <w:p w14:paraId="703DE247">
      <w:pPr>
        <w:keepNext w:val="0"/>
        <w:keepLines w:val="0"/>
        <w:pageBreakBefore w:val="0"/>
        <w:widowControl w:val="0"/>
        <w:kinsoku/>
        <w:wordWrap/>
        <w:overflowPunct/>
        <w:topLinePunct w:val="0"/>
        <w:autoSpaceDE/>
        <w:autoSpaceDN/>
        <w:bidi w:val="0"/>
        <w:adjustRightInd/>
        <w:snapToGrid/>
        <w:spacing w:line="560" w:lineRule="exact"/>
        <w:ind w:firstLine="1680" w:firstLineChars="7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甲</w:t>
      </w:r>
      <w:r>
        <w:rPr>
          <w:rFonts w:hint="eastAsia" w:ascii="宋体" w:hAnsi="宋体" w:eastAsia="宋体" w:cs="宋体"/>
          <w:sz w:val="24"/>
          <w:szCs w:val="24"/>
        </w:rPr>
        <w:t>方：</w:t>
      </w:r>
      <w:r>
        <w:rPr>
          <w:rFonts w:hint="eastAsia" w:ascii="宋体" w:hAnsi="宋体" w:eastAsia="宋体" w:cs="宋体"/>
          <w:sz w:val="24"/>
          <w:szCs w:val="24"/>
          <w:lang w:val="en-US" w:eastAsia="zh-CN"/>
        </w:rPr>
        <w:t xml:space="preserve">                            乙方：</w:t>
      </w:r>
    </w:p>
    <w:p w14:paraId="32E51C40">
      <w:pPr>
        <w:keepNext w:val="0"/>
        <w:keepLines w:val="0"/>
        <w:pageBreakBefore w:val="0"/>
        <w:widowControl w:val="0"/>
        <w:kinsoku/>
        <w:wordWrap/>
        <w:overflowPunct/>
        <w:topLinePunct w:val="0"/>
        <w:autoSpaceDE/>
        <w:autoSpaceDN/>
        <w:bidi w:val="0"/>
        <w:adjustRightInd/>
        <w:snapToGrid/>
        <w:spacing w:line="560" w:lineRule="exact"/>
        <w:ind w:firstLine="1680" w:firstLineChars="7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法定/授权代表人：</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法定/授权代表人：</w:t>
      </w:r>
    </w:p>
    <w:p w14:paraId="13913247">
      <w:pPr>
        <w:keepNext w:val="0"/>
        <w:keepLines w:val="0"/>
        <w:pageBreakBefore w:val="0"/>
        <w:widowControl w:val="0"/>
        <w:kinsoku/>
        <w:wordWrap/>
        <w:overflowPunct/>
        <w:topLinePunct w:val="0"/>
        <w:autoSpaceDE/>
        <w:autoSpaceDN/>
        <w:bidi w:val="0"/>
        <w:adjustRightInd/>
        <w:snapToGrid/>
        <w:spacing w:line="560" w:lineRule="exact"/>
        <w:ind w:firstLine="1680" w:firstLineChars="7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联系电话：</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联系电话：</w:t>
      </w:r>
    </w:p>
    <w:p w14:paraId="70F537F2">
      <w:pPr>
        <w:keepNext w:val="0"/>
        <w:keepLines w:val="0"/>
        <w:pageBreakBefore w:val="0"/>
        <w:widowControl w:val="0"/>
        <w:kinsoku/>
        <w:wordWrap/>
        <w:overflowPunct/>
        <w:topLinePunct w:val="0"/>
        <w:autoSpaceDE/>
        <w:autoSpaceDN/>
        <w:bidi w:val="0"/>
        <w:adjustRightInd/>
        <w:snapToGrid/>
        <w:spacing w:line="560" w:lineRule="exact"/>
        <w:ind w:firstLine="1680" w:firstLineChars="7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rPr>
        <w:t>签订日期：</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签订日期</w:t>
      </w:r>
      <w:r>
        <w:rPr>
          <w:rFonts w:hint="eastAsia" w:ascii="宋体" w:hAnsi="宋体" w:eastAsia="宋体" w:cs="宋体"/>
          <w:sz w:val="24"/>
          <w:szCs w:val="24"/>
          <w:lang w:eastAsia="zh-CN"/>
        </w:rPr>
        <w:t>：</w:t>
      </w:r>
    </w:p>
    <w:p w14:paraId="4379472B">
      <w:r>
        <w:br w:type="page"/>
      </w:r>
      <w:bookmarkStart w:id="0" w:name="_GoBack"/>
      <w:bookmarkEnd w:id="0"/>
    </w:p>
    <w:p w14:paraId="6F72D9DA">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黑体" w:hAnsi="黑体" w:eastAsia="黑体" w:cs="黑体"/>
          <w:sz w:val="32"/>
          <w:szCs w:val="32"/>
          <w:lang w:val="en-US" w:eastAsia="zh-CN"/>
        </w:rPr>
        <w:sectPr>
          <w:footerReference r:id="rId3" w:type="default"/>
          <w:pgSz w:w="11906" w:h="16838"/>
          <w:pgMar w:top="1440" w:right="1800" w:bottom="1440" w:left="1800" w:header="851" w:footer="992" w:gutter="0"/>
          <w:cols w:space="425" w:num="1"/>
          <w:docGrid w:type="lines" w:linePitch="312" w:charSpace="0"/>
        </w:sectPr>
      </w:pPr>
    </w:p>
    <w:p w14:paraId="4C7F67F7">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w:t>
      </w:r>
    </w:p>
    <w:tbl>
      <w:tblPr>
        <w:tblStyle w:val="7"/>
        <w:tblW w:w="149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2" w:type="dxa"/>
          <w:left w:w="64" w:type="dxa"/>
          <w:bottom w:w="32" w:type="dxa"/>
          <w:right w:w="64" w:type="dxa"/>
        </w:tblCellMar>
      </w:tblPr>
      <w:tblGrid>
        <w:gridCol w:w="468"/>
        <w:gridCol w:w="2064"/>
        <w:gridCol w:w="450"/>
        <w:gridCol w:w="6897"/>
        <w:gridCol w:w="5101"/>
      </w:tblGrid>
      <w:tr w14:paraId="130DFC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546" w:hRule="atLeast"/>
          <w:tblHeader/>
          <w:jc w:val="center"/>
        </w:trPr>
        <w:tc>
          <w:tcPr>
            <w:tcW w:w="14980" w:type="dxa"/>
            <w:gridSpan w:val="5"/>
            <w:tcBorders>
              <w:top w:val="nil"/>
              <w:left w:val="nil"/>
              <w:bottom w:val="nil"/>
              <w:right w:val="nil"/>
            </w:tcBorders>
            <w:noWrap/>
            <w:vAlign w:val="center"/>
          </w:tcPr>
          <w:p w14:paraId="11A901B0">
            <w:pPr>
              <w:keepNext w:val="0"/>
              <w:keepLines w:val="0"/>
              <w:widowControl/>
              <w:suppressLineNumbers w:val="0"/>
              <w:snapToGrid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32"/>
                <w:szCs w:val="32"/>
                <w:u w:val="none"/>
                <w:lang w:val="en-US" w:eastAsia="zh-CN" w:bidi="ar"/>
              </w:rPr>
              <w:t>渭南市救助管理站2025-2026年度购买未成年人救助保护社会工作服务内容</w:t>
            </w:r>
          </w:p>
        </w:tc>
      </w:tr>
      <w:tr w14:paraId="072116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437" w:hRule="atLeast"/>
          <w:tblHeader/>
          <w:jc w:val="center"/>
        </w:trPr>
        <w:tc>
          <w:tcPr>
            <w:tcW w:w="468" w:type="dxa"/>
            <w:tcBorders>
              <w:top w:val="single" w:color="000000" w:sz="4" w:space="0"/>
              <w:left w:val="single" w:color="000000" w:sz="4" w:space="0"/>
              <w:bottom w:val="single" w:color="000000" w:sz="4" w:space="0"/>
              <w:right w:val="single" w:color="000000" w:sz="4" w:space="0"/>
            </w:tcBorders>
            <w:noWrap/>
            <w:vAlign w:val="center"/>
          </w:tcPr>
          <w:p w14:paraId="52C6BD08">
            <w:pPr>
              <w:keepNext w:val="0"/>
              <w:keepLines w:val="0"/>
              <w:widowControl/>
              <w:suppressLineNumbers w:val="0"/>
              <w:snapToGrid w:val="0"/>
              <w:jc w:val="center"/>
              <w:textAlignment w:val="center"/>
              <w:rPr>
                <w:rFonts w:hint="eastAsia" w:ascii="仿宋" w:hAnsi="仿宋" w:eastAsia="仿宋" w:cs="仿宋"/>
                <w:b w:val="0"/>
                <w:bCs w:val="0"/>
                <w:i w:val="0"/>
                <w:iCs w:val="0"/>
                <w:color w:val="000000"/>
                <w:sz w:val="21"/>
                <w:szCs w:val="21"/>
                <w:u w:val="none"/>
              </w:rPr>
            </w:pPr>
            <w:r>
              <w:rPr>
                <w:rFonts w:hint="eastAsia" w:ascii="仿宋" w:hAnsi="仿宋" w:eastAsia="仿宋" w:cs="仿宋"/>
                <w:b w:val="0"/>
                <w:bCs w:val="0"/>
                <w:i w:val="0"/>
                <w:iCs w:val="0"/>
                <w:color w:val="000000"/>
                <w:kern w:val="0"/>
                <w:sz w:val="21"/>
                <w:szCs w:val="21"/>
                <w:u w:val="none"/>
                <w:lang w:val="en-US" w:eastAsia="zh-CN" w:bidi="ar"/>
              </w:rPr>
              <w:t>序号</w:t>
            </w:r>
          </w:p>
        </w:tc>
        <w:tc>
          <w:tcPr>
            <w:tcW w:w="2064" w:type="dxa"/>
            <w:tcBorders>
              <w:top w:val="single" w:color="000000" w:sz="4" w:space="0"/>
              <w:left w:val="single" w:color="000000" w:sz="4" w:space="0"/>
              <w:bottom w:val="single" w:color="000000" w:sz="4" w:space="0"/>
              <w:right w:val="single" w:color="auto" w:sz="4" w:space="0"/>
            </w:tcBorders>
            <w:noWrap/>
            <w:vAlign w:val="center"/>
          </w:tcPr>
          <w:p w14:paraId="01FF8B28">
            <w:pPr>
              <w:keepNext w:val="0"/>
              <w:keepLines w:val="0"/>
              <w:widowControl/>
              <w:suppressLineNumbers w:val="0"/>
              <w:snapToGrid w:val="0"/>
              <w:jc w:val="center"/>
              <w:textAlignment w:val="center"/>
              <w:rPr>
                <w:rFonts w:hint="eastAsia" w:ascii="仿宋" w:hAnsi="仿宋" w:eastAsia="仿宋" w:cs="仿宋"/>
                <w:b w:val="0"/>
                <w:bCs w:val="0"/>
                <w:i w:val="0"/>
                <w:iCs w:val="0"/>
                <w:color w:val="000000"/>
                <w:sz w:val="21"/>
                <w:szCs w:val="21"/>
                <w:u w:val="none"/>
              </w:rPr>
            </w:pPr>
            <w:r>
              <w:rPr>
                <w:rFonts w:hint="eastAsia" w:ascii="仿宋" w:hAnsi="仿宋" w:eastAsia="仿宋" w:cs="仿宋"/>
                <w:b w:val="0"/>
                <w:bCs w:val="0"/>
                <w:i w:val="0"/>
                <w:iCs w:val="0"/>
                <w:color w:val="000000"/>
                <w:kern w:val="0"/>
                <w:sz w:val="21"/>
                <w:szCs w:val="21"/>
                <w:u w:val="none"/>
                <w:lang w:val="en-US" w:eastAsia="zh-CN" w:bidi="ar"/>
              </w:rPr>
              <w:t>服务内容</w:t>
            </w:r>
          </w:p>
        </w:tc>
        <w:tc>
          <w:tcPr>
            <w:tcW w:w="450" w:type="dxa"/>
            <w:tcBorders>
              <w:top w:val="single" w:color="000000" w:sz="4" w:space="0"/>
              <w:left w:val="single" w:color="auto" w:sz="4" w:space="0"/>
              <w:bottom w:val="single" w:color="000000" w:sz="4" w:space="0"/>
              <w:right w:val="single" w:color="000000" w:sz="4" w:space="0"/>
            </w:tcBorders>
            <w:noWrap/>
            <w:vAlign w:val="center"/>
          </w:tcPr>
          <w:p w14:paraId="276D8523">
            <w:pPr>
              <w:keepNext w:val="0"/>
              <w:keepLines w:val="0"/>
              <w:widowControl/>
              <w:suppressLineNumbers w:val="0"/>
              <w:snapToGrid w:val="0"/>
              <w:jc w:val="center"/>
              <w:textAlignment w:val="center"/>
              <w:rPr>
                <w:rFonts w:hint="eastAsia" w:ascii="仿宋" w:hAnsi="仿宋" w:eastAsia="仿宋" w:cs="仿宋"/>
                <w:b w:val="0"/>
                <w:bCs w:val="0"/>
                <w:i w:val="0"/>
                <w:iCs w:val="0"/>
                <w:color w:val="000000"/>
                <w:kern w:val="0"/>
                <w:sz w:val="21"/>
                <w:szCs w:val="21"/>
                <w:u w:val="none"/>
                <w:lang w:val="en-US" w:eastAsia="zh-CN" w:bidi="ar"/>
              </w:rPr>
            </w:pPr>
            <w:r>
              <w:rPr>
                <w:rFonts w:hint="eastAsia" w:ascii="仿宋" w:hAnsi="仿宋" w:eastAsia="仿宋" w:cs="仿宋"/>
                <w:b w:val="0"/>
                <w:bCs w:val="0"/>
                <w:i w:val="0"/>
                <w:iCs w:val="0"/>
                <w:color w:val="000000"/>
                <w:kern w:val="0"/>
                <w:sz w:val="21"/>
                <w:szCs w:val="21"/>
                <w:u w:val="none"/>
                <w:lang w:val="en-US" w:eastAsia="zh-CN" w:bidi="ar"/>
              </w:rPr>
              <w:t>序号</w:t>
            </w:r>
          </w:p>
        </w:tc>
        <w:tc>
          <w:tcPr>
            <w:tcW w:w="6897" w:type="dxa"/>
            <w:tcBorders>
              <w:top w:val="single" w:color="000000" w:sz="4" w:space="0"/>
              <w:left w:val="single" w:color="000000" w:sz="4" w:space="0"/>
              <w:bottom w:val="single" w:color="000000" w:sz="4" w:space="0"/>
              <w:right w:val="single" w:color="000000" w:sz="4" w:space="0"/>
            </w:tcBorders>
            <w:noWrap/>
            <w:vAlign w:val="center"/>
          </w:tcPr>
          <w:p w14:paraId="407BC847">
            <w:pPr>
              <w:keepNext w:val="0"/>
              <w:keepLines w:val="0"/>
              <w:widowControl/>
              <w:suppressLineNumbers w:val="0"/>
              <w:snapToGrid w:val="0"/>
              <w:jc w:val="center"/>
              <w:textAlignment w:val="center"/>
              <w:rPr>
                <w:rFonts w:hint="eastAsia" w:ascii="仿宋" w:hAnsi="仿宋" w:eastAsia="仿宋" w:cs="仿宋"/>
                <w:b w:val="0"/>
                <w:bCs w:val="0"/>
                <w:i w:val="0"/>
                <w:iCs w:val="0"/>
                <w:color w:val="000000"/>
                <w:sz w:val="21"/>
                <w:szCs w:val="21"/>
                <w:u w:val="none"/>
              </w:rPr>
            </w:pPr>
            <w:r>
              <w:rPr>
                <w:rFonts w:hint="eastAsia" w:ascii="仿宋" w:hAnsi="仿宋" w:eastAsia="仿宋" w:cs="仿宋"/>
                <w:b w:val="0"/>
                <w:bCs w:val="0"/>
                <w:i w:val="0"/>
                <w:iCs w:val="0"/>
                <w:color w:val="000000"/>
                <w:kern w:val="0"/>
                <w:sz w:val="21"/>
                <w:szCs w:val="21"/>
                <w:u w:val="none"/>
                <w:lang w:val="en-US" w:eastAsia="zh-CN" w:bidi="ar"/>
              </w:rPr>
              <w:t>服务指标</w:t>
            </w:r>
          </w:p>
        </w:tc>
        <w:tc>
          <w:tcPr>
            <w:tcW w:w="5101" w:type="dxa"/>
            <w:tcBorders>
              <w:top w:val="single" w:color="000000" w:sz="4" w:space="0"/>
              <w:left w:val="single" w:color="000000" w:sz="4" w:space="0"/>
              <w:bottom w:val="single" w:color="000000" w:sz="4" w:space="0"/>
              <w:right w:val="single" w:color="000000" w:sz="4" w:space="0"/>
            </w:tcBorders>
            <w:noWrap/>
            <w:vAlign w:val="center"/>
          </w:tcPr>
          <w:p w14:paraId="1BFD4DCE">
            <w:pPr>
              <w:keepNext w:val="0"/>
              <w:keepLines w:val="0"/>
              <w:widowControl/>
              <w:suppressLineNumbers w:val="0"/>
              <w:snapToGrid w:val="0"/>
              <w:jc w:val="center"/>
              <w:textAlignment w:val="center"/>
              <w:rPr>
                <w:rFonts w:hint="eastAsia" w:ascii="仿宋" w:hAnsi="仿宋" w:eastAsia="仿宋" w:cs="仿宋"/>
                <w:b w:val="0"/>
                <w:bCs w:val="0"/>
                <w:i w:val="0"/>
                <w:iCs w:val="0"/>
                <w:color w:val="000000"/>
                <w:sz w:val="21"/>
                <w:szCs w:val="21"/>
                <w:u w:val="none"/>
              </w:rPr>
            </w:pPr>
            <w:r>
              <w:rPr>
                <w:rFonts w:hint="eastAsia" w:ascii="仿宋" w:hAnsi="仿宋" w:eastAsia="仿宋" w:cs="仿宋"/>
                <w:b w:val="0"/>
                <w:bCs w:val="0"/>
                <w:i w:val="0"/>
                <w:iCs w:val="0"/>
                <w:color w:val="000000"/>
                <w:kern w:val="0"/>
                <w:sz w:val="21"/>
                <w:szCs w:val="21"/>
                <w:u w:val="none"/>
                <w:lang w:val="en-US" w:eastAsia="zh-CN" w:bidi="ar"/>
              </w:rPr>
              <w:t>服务要求</w:t>
            </w:r>
          </w:p>
        </w:tc>
      </w:tr>
      <w:tr w14:paraId="65258B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1024" w:hRule="atLeast"/>
          <w:jc w:val="center"/>
        </w:trPr>
        <w:tc>
          <w:tcPr>
            <w:tcW w:w="468" w:type="dxa"/>
            <w:vMerge w:val="restart"/>
            <w:tcBorders>
              <w:top w:val="single" w:color="000000" w:sz="4" w:space="0"/>
              <w:left w:val="single" w:color="000000" w:sz="4" w:space="0"/>
              <w:bottom w:val="single" w:color="000000" w:sz="4" w:space="0"/>
              <w:right w:val="single" w:color="000000" w:sz="4" w:space="0"/>
            </w:tcBorders>
            <w:noWrap/>
            <w:vAlign w:val="center"/>
          </w:tcPr>
          <w:p w14:paraId="1689DDDC">
            <w:pPr>
              <w:keepNext w:val="0"/>
              <w:keepLines w:val="0"/>
              <w:widowControl/>
              <w:suppressLineNumbers w:val="0"/>
              <w:snapToGrid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1</w:t>
            </w:r>
          </w:p>
        </w:tc>
        <w:tc>
          <w:tcPr>
            <w:tcW w:w="2064" w:type="dxa"/>
            <w:vMerge w:val="restart"/>
            <w:tcBorders>
              <w:top w:val="single" w:color="000000" w:sz="4" w:space="0"/>
              <w:left w:val="single" w:color="000000" w:sz="4" w:space="0"/>
              <w:bottom w:val="single" w:color="000000" w:sz="4" w:space="0"/>
              <w:right w:val="single" w:color="auto" w:sz="4" w:space="0"/>
            </w:tcBorders>
            <w:noWrap w:val="0"/>
            <w:vAlign w:val="center"/>
          </w:tcPr>
          <w:p w14:paraId="591EEC06">
            <w:pPr>
              <w:keepNext w:val="0"/>
              <w:keepLines w:val="0"/>
              <w:widowControl/>
              <w:suppressLineNumbers w:val="0"/>
              <w:snapToGrid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临时照料。对机构临时监护服务对象提供基本生活照料、课业辅导、医疗服务、教育矫正、社会融入活动、心理疏导、情感支持、教育引导、家庭关系修复等专业化服务。定期组织服务对象与亲属见面或线上沟通。</w:t>
            </w:r>
          </w:p>
        </w:tc>
        <w:tc>
          <w:tcPr>
            <w:tcW w:w="450" w:type="dxa"/>
            <w:tcBorders>
              <w:top w:val="single" w:color="000000" w:sz="4" w:space="0"/>
              <w:left w:val="single" w:color="auto" w:sz="4" w:space="0"/>
              <w:bottom w:val="single" w:color="auto" w:sz="4" w:space="0"/>
              <w:right w:val="single" w:color="000000" w:sz="4" w:space="0"/>
            </w:tcBorders>
            <w:noWrap w:val="0"/>
            <w:vAlign w:val="center"/>
          </w:tcPr>
          <w:p w14:paraId="3150EAFF">
            <w:pPr>
              <w:keepNext w:val="0"/>
              <w:keepLines w:val="0"/>
              <w:widowControl/>
              <w:suppressLineNumbers w:val="0"/>
              <w:snapToGrid w:val="0"/>
              <w:jc w:val="center"/>
              <w:textAlignment w:val="center"/>
              <w:rPr>
                <w:rFonts w:hint="eastAsia" w:ascii="仿宋" w:hAnsi="仿宋" w:eastAsia="仿宋" w:cs="仿宋"/>
                <w:b/>
                <w:bCs/>
                <w:i w:val="0"/>
                <w:iCs w:val="0"/>
                <w:color w:val="000000"/>
                <w:kern w:val="0"/>
                <w:sz w:val="21"/>
                <w:szCs w:val="21"/>
                <w:u w:val="none"/>
                <w:lang w:val="en-US" w:eastAsia="zh-CN" w:bidi="ar"/>
              </w:rPr>
            </w:pPr>
            <w:r>
              <w:rPr>
                <w:rFonts w:hint="eastAsia" w:ascii="仿宋" w:hAnsi="仿宋" w:eastAsia="仿宋" w:cs="仿宋"/>
                <w:b/>
                <w:bCs/>
                <w:i w:val="0"/>
                <w:iCs w:val="0"/>
                <w:color w:val="000000"/>
                <w:kern w:val="0"/>
                <w:sz w:val="21"/>
                <w:szCs w:val="21"/>
                <w:u w:val="none"/>
                <w:lang w:val="en-US" w:eastAsia="zh-CN" w:bidi="ar"/>
              </w:rPr>
              <w:t>1</w:t>
            </w:r>
          </w:p>
        </w:tc>
        <w:tc>
          <w:tcPr>
            <w:tcW w:w="6897" w:type="dxa"/>
            <w:tcBorders>
              <w:top w:val="single" w:color="000000" w:sz="4" w:space="0"/>
              <w:left w:val="single" w:color="000000" w:sz="4" w:space="0"/>
              <w:bottom w:val="single" w:color="auto" w:sz="4" w:space="0"/>
              <w:right w:val="single" w:color="000000" w:sz="4" w:space="0"/>
            </w:tcBorders>
            <w:noWrap w:val="0"/>
            <w:vAlign w:val="center"/>
          </w:tcPr>
          <w:p w14:paraId="78859EF3">
            <w:pPr>
              <w:keepNext w:val="0"/>
              <w:keepLines w:val="0"/>
              <w:widowControl/>
              <w:suppressLineNumbers w:val="0"/>
              <w:snapToGrid w:val="0"/>
              <w:jc w:val="left"/>
              <w:textAlignment w:val="center"/>
              <w:rPr>
                <w:rFonts w:hint="eastAsia" w:ascii="仿宋" w:hAnsi="仿宋" w:eastAsia="仿宋" w:cs="仿宋"/>
                <w:i w:val="0"/>
                <w:iCs w:val="0"/>
                <w:color w:val="000000"/>
                <w:sz w:val="21"/>
                <w:szCs w:val="21"/>
                <w:u w:val="none"/>
                <w:lang w:val="en-US"/>
              </w:rPr>
            </w:pPr>
            <w:r>
              <w:rPr>
                <w:rFonts w:hint="eastAsia" w:ascii="仿宋" w:hAnsi="仿宋" w:eastAsia="仿宋" w:cs="仿宋"/>
                <w:i w:val="0"/>
                <w:iCs w:val="0"/>
                <w:color w:val="000000"/>
                <w:kern w:val="0"/>
                <w:sz w:val="21"/>
                <w:szCs w:val="21"/>
                <w:u w:val="none"/>
                <w:lang w:val="en-US" w:eastAsia="zh-CN" w:bidi="ar"/>
              </w:rPr>
              <w:t>服务对象。负责对生活无着的流浪乞讨、遭受监护侵害、暂时无人监护等未成年人实施救助，承担生活照料等工作。</w:t>
            </w:r>
          </w:p>
        </w:tc>
        <w:tc>
          <w:tcPr>
            <w:tcW w:w="5101" w:type="dxa"/>
            <w:tcBorders>
              <w:top w:val="single" w:color="000000" w:sz="4" w:space="0"/>
              <w:left w:val="single" w:color="000000" w:sz="4" w:space="0"/>
              <w:bottom w:val="single" w:color="000000" w:sz="4" w:space="0"/>
              <w:right w:val="single" w:color="000000" w:sz="4" w:space="0"/>
            </w:tcBorders>
            <w:noWrap w:val="0"/>
            <w:vAlign w:val="center"/>
          </w:tcPr>
          <w:p w14:paraId="274EC69B">
            <w:pPr>
              <w:keepNext w:val="0"/>
              <w:keepLines w:val="0"/>
              <w:widowControl/>
              <w:suppressLineNumbers w:val="0"/>
              <w:snapToGrid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根据现有未成年人数量，要求配备不少于 10 名工作人员，实行每班在岗不少于3人的24小时工作轮流值班制度，为临时监护服务对象提供生活照料并在系统中同步更新儿童信息等。</w:t>
            </w:r>
          </w:p>
        </w:tc>
      </w:tr>
      <w:tr w14:paraId="0FA65D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622" w:hRule="atLeast"/>
          <w:jc w:val="center"/>
        </w:trPr>
        <w:tc>
          <w:tcPr>
            <w:tcW w:w="468" w:type="dxa"/>
            <w:vMerge w:val="continue"/>
            <w:tcBorders>
              <w:top w:val="single" w:color="000000" w:sz="4" w:space="0"/>
              <w:left w:val="single" w:color="000000" w:sz="4" w:space="0"/>
              <w:bottom w:val="single" w:color="000000" w:sz="4" w:space="0"/>
              <w:right w:val="single" w:color="000000" w:sz="4" w:space="0"/>
            </w:tcBorders>
            <w:noWrap/>
            <w:vAlign w:val="center"/>
          </w:tcPr>
          <w:p w14:paraId="3E04AB74">
            <w:pPr>
              <w:snapToGrid w:val="0"/>
              <w:jc w:val="center"/>
              <w:rPr>
                <w:rFonts w:hint="eastAsia" w:ascii="仿宋" w:hAnsi="仿宋" w:eastAsia="仿宋" w:cs="仿宋"/>
                <w:b/>
                <w:bCs/>
                <w:i w:val="0"/>
                <w:iCs w:val="0"/>
                <w:color w:val="000000"/>
                <w:sz w:val="21"/>
                <w:szCs w:val="21"/>
                <w:u w:val="none"/>
              </w:rPr>
            </w:pPr>
          </w:p>
        </w:tc>
        <w:tc>
          <w:tcPr>
            <w:tcW w:w="2064" w:type="dxa"/>
            <w:vMerge w:val="continue"/>
            <w:tcBorders>
              <w:top w:val="single" w:color="000000" w:sz="4" w:space="0"/>
              <w:left w:val="single" w:color="000000" w:sz="4" w:space="0"/>
              <w:bottom w:val="single" w:color="000000" w:sz="4" w:space="0"/>
              <w:right w:val="single" w:color="auto" w:sz="4" w:space="0"/>
            </w:tcBorders>
            <w:noWrap w:val="0"/>
            <w:vAlign w:val="center"/>
          </w:tcPr>
          <w:p w14:paraId="1E32EB81">
            <w:pPr>
              <w:snapToGrid w:val="0"/>
              <w:jc w:val="left"/>
              <w:rPr>
                <w:rFonts w:hint="eastAsia" w:ascii="仿宋" w:hAnsi="仿宋" w:eastAsia="仿宋" w:cs="仿宋"/>
                <w:i w:val="0"/>
                <w:iCs w:val="0"/>
                <w:color w:val="000000"/>
                <w:sz w:val="21"/>
                <w:szCs w:val="21"/>
                <w:u w:val="none"/>
              </w:rPr>
            </w:pPr>
          </w:p>
        </w:tc>
        <w:tc>
          <w:tcPr>
            <w:tcW w:w="450" w:type="dxa"/>
            <w:tcBorders>
              <w:top w:val="single" w:color="auto" w:sz="4" w:space="0"/>
              <w:left w:val="single" w:color="auto" w:sz="4" w:space="0"/>
              <w:bottom w:val="single" w:color="auto" w:sz="4" w:space="0"/>
              <w:right w:val="single" w:color="000000" w:sz="4" w:space="0"/>
            </w:tcBorders>
            <w:noWrap w:val="0"/>
            <w:vAlign w:val="center"/>
          </w:tcPr>
          <w:p w14:paraId="417FFBE2">
            <w:pPr>
              <w:snapToGrid w:val="0"/>
              <w:jc w:val="center"/>
              <w:rPr>
                <w:rFonts w:hint="eastAsia" w:ascii="仿宋" w:hAnsi="仿宋" w:eastAsia="仿宋" w:cs="仿宋"/>
                <w:b/>
                <w:bCs/>
                <w:i w:val="0"/>
                <w:iCs w:val="0"/>
                <w:color w:val="000000"/>
                <w:sz w:val="21"/>
                <w:szCs w:val="21"/>
                <w:u w:val="none"/>
                <w:lang w:val="en-US" w:eastAsia="zh-CN"/>
              </w:rPr>
            </w:pPr>
            <w:r>
              <w:rPr>
                <w:rFonts w:hint="eastAsia" w:ascii="仿宋" w:hAnsi="仿宋" w:eastAsia="仿宋" w:cs="仿宋"/>
                <w:b/>
                <w:bCs/>
                <w:i w:val="0"/>
                <w:iCs w:val="0"/>
                <w:color w:val="000000"/>
                <w:sz w:val="21"/>
                <w:szCs w:val="21"/>
                <w:u w:val="none"/>
                <w:lang w:val="en-US" w:eastAsia="zh-CN"/>
              </w:rPr>
              <w:t>2</w:t>
            </w:r>
          </w:p>
        </w:tc>
        <w:tc>
          <w:tcPr>
            <w:tcW w:w="6897" w:type="dxa"/>
            <w:tcBorders>
              <w:top w:val="single" w:color="auto" w:sz="4" w:space="0"/>
              <w:left w:val="single" w:color="000000" w:sz="4" w:space="0"/>
              <w:bottom w:val="single" w:color="auto" w:sz="4" w:space="0"/>
              <w:right w:val="single" w:color="000000" w:sz="4" w:space="0"/>
            </w:tcBorders>
            <w:noWrap w:val="0"/>
            <w:vAlign w:val="center"/>
          </w:tcPr>
          <w:p w14:paraId="4BB19DCE">
            <w:pPr>
              <w:keepNext w:val="0"/>
              <w:keepLines w:val="0"/>
              <w:widowControl/>
              <w:suppressLineNumbers w:val="0"/>
              <w:snapToGrid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档案管理。使用图片和文字详实体现站内照料未成年人的基本情况、评估内容、援助内容（包括生活、学习、就医、活动等）、转介结案等信息。</w:t>
            </w:r>
          </w:p>
        </w:tc>
        <w:tc>
          <w:tcPr>
            <w:tcW w:w="5101" w:type="dxa"/>
            <w:tcBorders>
              <w:top w:val="single" w:color="000000" w:sz="4" w:space="0"/>
              <w:left w:val="single" w:color="000000" w:sz="4" w:space="0"/>
              <w:bottom w:val="single" w:color="000000" w:sz="4" w:space="0"/>
              <w:right w:val="single" w:color="000000" w:sz="4" w:space="0"/>
            </w:tcBorders>
            <w:noWrap/>
            <w:vAlign w:val="center"/>
          </w:tcPr>
          <w:p w14:paraId="0E880D2A">
            <w:pPr>
              <w:keepNext w:val="0"/>
              <w:keepLines w:val="0"/>
              <w:widowControl/>
              <w:suppressLineNumbers w:val="0"/>
              <w:snapToGrid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确保工作步骤有迹、有序，资料完善、准确。</w:t>
            </w:r>
          </w:p>
        </w:tc>
      </w:tr>
      <w:tr w14:paraId="0F916E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622" w:hRule="atLeast"/>
          <w:jc w:val="center"/>
        </w:trPr>
        <w:tc>
          <w:tcPr>
            <w:tcW w:w="468" w:type="dxa"/>
            <w:vMerge w:val="continue"/>
            <w:tcBorders>
              <w:top w:val="single" w:color="000000" w:sz="4" w:space="0"/>
              <w:left w:val="single" w:color="000000" w:sz="4" w:space="0"/>
              <w:bottom w:val="single" w:color="000000" w:sz="4" w:space="0"/>
              <w:right w:val="single" w:color="000000" w:sz="4" w:space="0"/>
            </w:tcBorders>
            <w:noWrap/>
            <w:vAlign w:val="center"/>
          </w:tcPr>
          <w:p w14:paraId="3DC240EB">
            <w:pPr>
              <w:snapToGrid w:val="0"/>
              <w:jc w:val="center"/>
              <w:rPr>
                <w:rFonts w:hint="eastAsia" w:ascii="仿宋" w:hAnsi="仿宋" w:eastAsia="仿宋" w:cs="仿宋"/>
                <w:b/>
                <w:bCs/>
                <w:i w:val="0"/>
                <w:iCs w:val="0"/>
                <w:color w:val="000000"/>
                <w:sz w:val="21"/>
                <w:szCs w:val="21"/>
                <w:u w:val="none"/>
              </w:rPr>
            </w:pPr>
          </w:p>
        </w:tc>
        <w:tc>
          <w:tcPr>
            <w:tcW w:w="2064" w:type="dxa"/>
            <w:vMerge w:val="continue"/>
            <w:tcBorders>
              <w:top w:val="single" w:color="000000" w:sz="4" w:space="0"/>
              <w:left w:val="single" w:color="000000" w:sz="4" w:space="0"/>
              <w:bottom w:val="single" w:color="000000" w:sz="4" w:space="0"/>
              <w:right w:val="single" w:color="auto" w:sz="4" w:space="0"/>
            </w:tcBorders>
            <w:noWrap w:val="0"/>
            <w:vAlign w:val="center"/>
          </w:tcPr>
          <w:p w14:paraId="66B455F5">
            <w:pPr>
              <w:snapToGrid w:val="0"/>
              <w:jc w:val="left"/>
              <w:rPr>
                <w:rFonts w:hint="eastAsia" w:ascii="仿宋" w:hAnsi="仿宋" w:eastAsia="仿宋" w:cs="仿宋"/>
                <w:i w:val="0"/>
                <w:iCs w:val="0"/>
                <w:color w:val="000000"/>
                <w:sz w:val="21"/>
                <w:szCs w:val="21"/>
                <w:u w:val="none"/>
              </w:rPr>
            </w:pPr>
          </w:p>
        </w:tc>
        <w:tc>
          <w:tcPr>
            <w:tcW w:w="450" w:type="dxa"/>
            <w:tcBorders>
              <w:top w:val="single" w:color="auto" w:sz="4" w:space="0"/>
              <w:left w:val="single" w:color="auto" w:sz="4" w:space="0"/>
              <w:bottom w:val="single" w:color="auto" w:sz="4" w:space="0"/>
              <w:right w:val="single" w:color="000000" w:sz="4" w:space="0"/>
            </w:tcBorders>
            <w:noWrap w:val="0"/>
            <w:vAlign w:val="center"/>
          </w:tcPr>
          <w:p w14:paraId="63A78F46">
            <w:pPr>
              <w:snapToGrid w:val="0"/>
              <w:jc w:val="center"/>
              <w:rPr>
                <w:rFonts w:hint="eastAsia" w:ascii="仿宋" w:hAnsi="仿宋" w:eastAsia="仿宋" w:cs="仿宋"/>
                <w:b/>
                <w:bCs/>
                <w:i w:val="0"/>
                <w:iCs w:val="0"/>
                <w:color w:val="000000"/>
                <w:sz w:val="21"/>
                <w:szCs w:val="21"/>
                <w:u w:val="none"/>
                <w:lang w:val="en-US" w:eastAsia="zh-CN"/>
              </w:rPr>
            </w:pPr>
            <w:r>
              <w:rPr>
                <w:rFonts w:hint="eastAsia" w:ascii="仿宋" w:hAnsi="仿宋" w:eastAsia="仿宋" w:cs="仿宋"/>
                <w:b/>
                <w:bCs/>
                <w:i w:val="0"/>
                <w:iCs w:val="0"/>
                <w:color w:val="000000"/>
                <w:sz w:val="21"/>
                <w:szCs w:val="21"/>
                <w:u w:val="none"/>
                <w:lang w:val="en-US" w:eastAsia="zh-CN"/>
              </w:rPr>
              <w:t>3</w:t>
            </w:r>
          </w:p>
        </w:tc>
        <w:tc>
          <w:tcPr>
            <w:tcW w:w="6897" w:type="dxa"/>
            <w:tcBorders>
              <w:top w:val="single" w:color="auto" w:sz="4" w:space="0"/>
              <w:left w:val="single" w:color="000000" w:sz="4" w:space="0"/>
              <w:bottom w:val="single" w:color="auto" w:sz="4" w:space="0"/>
              <w:right w:val="single" w:color="000000" w:sz="4" w:space="0"/>
            </w:tcBorders>
            <w:noWrap w:val="0"/>
            <w:vAlign w:val="center"/>
          </w:tcPr>
          <w:p w14:paraId="16A947BC">
            <w:pPr>
              <w:keepNext w:val="0"/>
              <w:keepLines w:val="0"/>
              <w:widowControl/>
              <w:suppressLineNumbers w:val="0"/>
              <w:snapToGrid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转介结案。完善未成年人转介、结案和护送离站等相关手续。结案后对机构安置儿童统一进行回访。对辖区内回归家庭安置儿童回访不少于2次/年。</w:t>
            </w:r>
          </w:p>
        </w:tc>
        <w:tc>
          <w:tcPr>
            <w:tcW w:w="5101" w:type="dxa"/>
            <w:tcBorders>
              <w:top w:val="single" w:color="000000" w:sz="4" w:space="0"/>
              <w:left w:val="single" w:color="000000" w:sz="4" w:space="0"/>
              <w:bottom w:val="single" w:color="000000" w:sz="4" w:space="0"/>
              <w:right w:val="single" w:color="000000" w:sz="4" w:space="0"/>
            </w:tcBorders>
            <w:noWrap/>
            <w:vAlign w:val="center"/>
          </w:tcPr>
          <w:p w14:paraId="6A67D894">
            <w:pPr>
              <w:keepNext w:val="0"/>
              <w:keepLines w:val="0"/>
              <w:widowControl/>
              <w:suppressLineNumbers w:val="0"/>
              <w:snapToGrid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按需提供相关回访记录、图片等佐证材料。</w:t>
            </w:r>
          </w:p>
        </w:tc>
      </w:tr>
      <w:tr w14:paraId="37D299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622" w:hRule="atLeast"/>
          <w:jc w:val="center"/>
        </w:trPr>
        <w:tc>
          <w:tcPr>
            <w:tcW w:w="468" w:type="dxa"/>
            <w:vMerge w:val="continue"/>
            <w:tcBorders>
              <w:top w:val="single" w:color="000000" w:sz="4" w:space="0"/>
              <w:left w:val="single" w:color="000000" w:sz="4" w:space="0"/>
              <w:bottom w:val="single" w:color="000000" w:sz="4" w:space="0"/>
              <w:right w:val="single" w:color="000000" w:sz="4" w:space="0"/>
            </w:tcBorders>
            <w:noWrap/>
            <w:vAlign w:val="center"/>
          </w:tcPr>
          <w:p w14:paraId="413211FB">
            <w:pPr>
              <w:snapToGrid w:val="0"/>
              <w:jc w:val="center"/>
              <w:rPr>
                <w:rFonts w:hint="eastAsia" w:ascii="仿宋" w:hAnsi="仿宋" w:eastAsia="仿宋" w:cs="仿宋"/>
                <w:b/>
                <w:bCs/>
                <w:i w:val="0"/>
                <w:iCs w:val="0"/>
                <w:color w:val="000000"/>
                <w:sz w:val="21"/>
                <w:szCs w:val="21"/>
                <w:u w:val="none"/>
              </w:rPr>
            </w:pPr>
          </w:p>
        </w:tc>
        <w:tc>
          <w:tcPr>
            <w:tcW w:w="2064" w:type="dxa"/>
            <w:vMerge w:val="continue"/>
            <w:tcBorders>
              <w:top w:val="single" w:color="000000" w:sz="4" w:space="0"/>
              <w:left w:val="single" w:color="000000" w:sz="4" w:space="0"/>
              <w:bottom w:val="single" w:color="000000" w:sz="4" w:space="0"/>
              <w:right w:val="single" w:color="auto" w:sz="4" w:space="0"/>
            </w:tcBorders>
            <w:noWrap w:val="0"/>
            <w:vAlign w:val="center"/>
          </w:tcPr>
          <w:p w14:paraId="510BD8A9">
            <w:pPr>
              <w:snapToGrid w:val="0"/>
              <w:jc w:val="left"/>
              <w:rPr>
                <w:rFonts w:hint="eastAsia" w:ascii="仿宋" w:hAnsi="仿宋" w:eastAsia="仿宋" w:cs="仿宋"/>
                <w:i w:val="0"/>
                <w:iCs w:val="0"/>
                <w:color w:val="000000"/>
                <w:sz w:val="21"/>
                <w:szCs w:val="21"/>
                <w:u w:val="none"/>
              </w:rPr>
            </w:pPr>
          </w:p>
        </w:tc>
        <w:tc>
          <w:tcPr>
            <w:tcW w:w="450" w:type="dxa"/>
            <w:tcBorders>
              <w:top w:val="single" w:color="auto" w:sz="4" w:space="0"/>
              <w:left w:val="single" w:color="auto" w:sz="4" w:space="0"/>
              <w:bottom w:val="single" w:color="000000" w:sz="4" w:space="0"/>
              <w:right w:val="single" w:color="000000" w:sz="4" w:space="0"/>
            </w:tcBorders>
            <w:noWrap w:val="0"/>
            <w:vAlign w:val="center"/>
          </w:tcPr>
          <w:p w14:paraId="5CD1B8B2">
            <w:pPr>
              <w:snapToGrid w:val="0"/>
              <w:jc w:val="center"/>
              <w:rPr>
                <w:rFonts w:hint="eastAsia" w:ascii="仿宋" w:hAnsi="仿宋" w:eastAsia="仿宋" w:cs="仿宋"/>
                <w:b/>
                <w:bCs/>
                <w:i w:val="0"/>
                <w:iCs w:val="0"/>
                <w:color w:val="000000"/>
                <w:sz w:val="21"/>
                <w:szCs w:val="21"/>
                <w:u w:val="none"/>
                <w:lang w:val="en-US" w:eastAsia="zh-CN"/>
              </w:rPr>
            </w:pPr>
            <w:r>
              <w:rPr>
                <w:rFonts w:hint="eastAsia" w:ascii="仿宋" w:hAnsi="仿宋" w:eastAsia="仿宋" w:cs="仿宋"/>
                <w:b/>
                <w:bCs/>
                <w:i w:val="0"/>
                <w:iCs w:val="0"/>
                <w:color w:val="000000"/>
                <w:sz w:val="21"/>
                <w:szCs w:val="21"/>
                <w:u w:val="none"/>
                <w:lang w:val="en-US" w:eastAsia="zh-CN"/>
              </w:rPr>
              <w:t>4</w:t>
            </w:r>
          </w:p>
        </w:tc>
        <w:tc>
          <w:tcPr>
            <w:tcW w:w="6897" w:type="dxa"/>
            <w:tcBorders>
              <w:top w:val="single" w:color="auto" w:sz="4" w:space="0"/>
              <w:left w:val="single" w:color="000000" w:sz="4" w:space="0"/>
              <w:bottom w:val="single" w:color="000000" w:sz="4" w:space="0"/>
              <w:right w:val="single" w:color="000000" w:sz="4" w:space="0"/>
            </w:tcBorders>
            <w:noWrap w:val="0"/>
            <w:vAlign w:val="center"/>
          </w:tcPr>
          <w:p w14:paraId="52181D75">
            <w:pPr>
              <w:keepNext w:val="0"/>
              <w:keepLines w:val="0"/>
              <w:widowControl/>
              <w:suppressLineNumbers w:val="0"/>
              <w:snapToGrid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监护时长。原则上临时照料期限不超过一年，及时对儿童定期进行评估并在有必要的情况下配合开展个案会商。</w:t>
            </w:r>
          </w:p>
        </w:tc>
        <w:tc>
          <w:tcPr>
            <w:tcW w:w="5101" w:type="dxa"/>
            <w:tcBorders>
              <w:top w:val="single" w:color="000000" w:sz="4" w:space="0"/>
              <w:left w:val="single" w:color="000000" w:sz="4" w:space="0"/>
              <w:bottom w:val="single" w:color="000000" w:sz="4" w:space="0"/>
              <w:right w:val="single" w:color="000000" w:sz="4" w:space="0"/>
            </w:tcBorders>
            <w:noWrap/>
            <w:vAlign w:val="center"/>
          </w:tcPr>
          <w:p w14:paraId="20FA5E3D">
            <w:pPr>
              <w:keepNext w:val="0"/>
              <w:keepLines w:val="0"/>
              <w:widowControl/>
              <w:suppressLineNumbers w:val="0"/>
              <w:snapToGrid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评估报告及个案会商等材料。</w:t>
            </w:r>
          </w:p>
        </w:tc>
      </w:tr>
      <w:tr w14:paraId="02CF4A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1228" w:hRule="atLeast"/>
          <w:jc w:val="center"/>
        </w:trPr>
        <w:tc>
          <w:tcPr>
            <w:tcW w:w="468" w:type="dxa"/>
            <w:vMerge w:val="restart"/>
            <w:tcBorders>
              <w:top w:val="single" w:color="000000" w:sz="4" w:space="0"/>
              <w:left w:val="single" w:color="000000" w:sz="4" w:space="0"/>
              <w:bottom w:val="single" w:color="000000" w:sz="4" w:space="0"/>
              <w:right w:val="single" w:color="000000" w:sz="4" w:space="0"/>
            </w:tcBorders>
            <w:noWrap/>
            <w:vAlign w:val="center"/>
          </w:tcPr>
          <w:p w14:paraId="1E3A4D55">
            <w:pPr>
              <w:keepNext w:val="0"/>
              <w:keepLines w:val="0"/>
              <w:widowControl/>
              <w:suppressLineNumbers w:val="0"/>
              <w:snapToGrid w:val="0"/>
              <w:jc w:val="center"/>
              <w:textAlignment w:val="center"/>
              <w:rPr>
                <w:rFonts w:hint="eastAsia" w:ascii="仿宋" w:hAnsi="仿宋" w:eastAsia="仿宋" w:cs="仿宋"/>
                <w:b/>
                <w:bCs/>
                <w:i w:val="0"/>
                <w:iCs w:val="0"/>
                <w:color w:val="000000"/>
                <w:kern w:val="0"/>
                <w:sz w:val="21"/>
                <w:szCs w:val="21"/>
                <w:u w:val="none"/>
                <w:lang w:val="en-US" w:eastAsia="zh-CN" w:bidi="ar"/>
              </w:rPr>
            </w:pPr>
          </w:p>
          <w:p w14:paraId="1532817C">
            <w:pPr>
              <w:keepNext w:val="0"/>
              <w:keepLines w:val="0"/>
              <w:widowControl/>
              <w:suppressLineNumbers w:val="0"/>
              <w:snapToGrid w:val="0"/>
              <w:jc w:val="center"/>
              <w:textAlignment w:val="center"/>
              <w:rPr>
                <w:rFonts w:hint="eastAsia" w:ascii="仿宋" w:hAnsi="仿宋" w:eastAsia="仿宋" w:cs="仿宋"/>
                <w:b/>
                <w:bCs/>
                <w:i w:val="0"/>
                <w:iCs w:val="0"/>
                <w:color w:val="000000"/>
                <w:kern w:val="0"/>
                <w:sz w:val="21"/>
                <w:szCs w:val="21"/>
                <w:u w:val="none"/>
                <w:lang w:val="en-US" w:eastAsia="zh-CN" w:bidi="ar"/>
              </w:rPr>
            </w:pPr>
          </w:p>
          <w:p w14:paraId="21E952E3">
            <w:pPr>
              <w:keepNext w:val="0"/>
              <w:keepLines w:val="0"/>
              <w:widowControl/>
              <w:suppressLineNumbers w:val="0"/>
              <w:snapToGrid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2</w:t>
            </w:r>
          </w:p>
        </w:tc>
        <w:tc>
          <w:tcPr>
            <w:tcW w:w="2064" w:type="dxa"/>
            <w:vMerge w:val="restart"/>
            <w:tcBorders>
              <w:top w:val="single" w:color="000000" w:sz="4" w:space="0"/>
              <w:left w:val="single" w:color="000000" w:sz="4" w:space="0"/>
              <w:bottom w:val="single" w:color="000000" w:sz="4" w:space="0"/>
              <w:right w:val="single" w:color="auto" w:sz="4" w:space="0"/>
            </w:tcBorders>
            <w:noWrap w:val="0"/>
            <w:vAlign w:val="center"/>
          </w:tcPr>
          <w:p w14:paraId="314D51C7">
            <w:pPr>
              <w:keepNext w:val="0"/>
              <w:keepLines w:val="0"/>
              <w:widowControl/>
              <w:suppressLineNumbers w:val="0"/>
              <w:snapToGrid w:val="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br w:type="textWrapping"/>
            </w:r>
          </w:p>
          <w:p w14:paraId="76D8F217">
            <w:pPr>
              <w:keepNext w:val="0"/>
              <w:keepLines w:val="0"/>
              <w:widowControl/>
              <w:suppressLineNumbers w:val="0"/>
              <w:snapToGrid w:val="0"/>
              <w:jc w:val="left"/>
              <w:textAlignment w:val="center"/>
              <w:rPr>
                <w:rFonts w:hint="eastAsia" w:ascii="仿宋" w:hAnsi="仿宋" w:eastAsia="仿宋" w:cs="仿宋"/>
                <w:i w:val="0"/>
                <w:iCs w:val="0"/>
                <w:color w:val="000000"/>
                <w:kern w:val="0"/>
                <w:sz w:val="21"/>
                <w:szCs w:val="21"/>
                <w:u w:val="none"/>
                <w:lang w:val="en-US" w:eastAsia="zh-CN" w:bidi="ar"/>
              </w:rPr>
            </w:pPr>
          </w:p>
          <w:p w14:paraId="7CEB33AC">
            <w:pPr>
              <w:keepNext w:val="0"/>
              <w:keepLines w:val="0"/>
              <w:widowControl/>
              <w:suppressLineNumbers w:val="0"/>
              <w:snapToGrid w:val="0"/>
              <w:jc w:val="left"/>
              <w:textAlignment w:val="center"/>
              <w:rPr>
                <w:rFonts w:hint="eastAsia" w:ascii="仿宋" w:hAnsi="仿宋" w:eastAsia="仿宋" w:cs="仿宋"/>
                <w:i w:val="0"/>
                <w:iCs w:val="0"/>
                <w:color w:val="000000"/>
                <w:kern w:val="0"/>
                <w:sz w:val="21"/>
                <w:szCs w:val="21"/>
                <w:u w:val="none"/>
                <w:lang w:val="en-US" w:eastAsia="zh-CN" w:bidi="ar"/>
              </w:rPr>
            </w:pPr>
          </w:p>
          <w:p w14:paraId="38901504">
            <w:pPr>
              <w:keepNext w:val="0"/>
              <w:keepLines w:val="0"/>
              <w:widowControl/>
              <w:suppressLineNumbers w:val="0"/>
              <w:snapToGrid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承办落实。协调配合有关部门和单位，共同落实未成年人保护工作安排，加强政策衔接、工作对接，共同做好重点疑难个案的商议处置，为基层开展未成年人保护工作提供专业支持。</w:t>
            </w:r>
          </w:p>
        </w:tc>
        <w:tc>
          <w:tcPr>
            <w:tcW w:w="450" w:type="dxa"/>
            <w:tcBorders>
              <w:top w:val="single" w:color="000000" w:sz="4" w:space="0"/>
              <w:left w:val="single" w:color="auto" w:sz="4" w:space="0"/>
              <w:bottom w:val="single" w:color="auto" w:sz="4" w:space="0"/>
              <w:right w:val="single" w:color="000000" w:sz="4" w:space="0"/>
            </w:tcBorders>
            <w:noWrap w:val="0"/>
            <w:vAlign w:val="center"/>
          </w:tcPr>
          <w:p w14:paraId="1BC6C584">
            <w:pPr>
              <w:keepNext w:val="0"/>
              <w:keepLines w:val="0"/>
              <w:widowControl/>
              <w:suppressLineNumbers w:val="0"/>
              <w:snapToGrid w:val="0"/>
              <w:jc w:val="center"/>
              <w:textAlignment w:val="center"/>
              <w:rPr>
                <w:rFonts w:hint="eastAsia" w:ascii="仿宋" w:hAnsi="仿宋" w:eastAsia="仿宋" w:cs="仿宋"/>
                <w:b/>
                <w:bCs/>
                <w:i w:val="0"/>
                <w:iCs w:val="0"/>
                <w:color w:val="000000"/>
                <w:kern w:val="0"/>
                <w:sz w:val="21"/>
                <w:szCs w:val="21"/>
                <w:u w:val="none"/>
                <w:lang w:val="en-US" w:eastAsia="zh-CN" w:bidi="ar"/>
              </w:rPr>
            </w:pPr>
            <w:r>
              <w:rPr>
                <w:rFonts w:hint="eastAsia" w:ascii="仿宋" w:hAnsi="仿宋" w:eastAsia="仿宋" w:cs="仿宋"/>
                <w:b/>
                <w:bCs/>
                <w:i w:val="0"/>
                <w:iCs w:val="0"/>
                <w:color w:val="000000"/>
                <w:kern w:val="0"/>
                <w:sz w:val="21"/>
                <w:szCs w:val="21"/>
                <w:u w:val="none"/>
                <w:lang w:val="en-US" w:eastAsia="zh-CN" w:bidi="ar"/>
              </w:rPr>
              <w:t>5</w:t>
            </w:r>
          </w:p>
        </w:tc>
        <w:tc>
          <w:tcPr>
            <w:tcW w:w="6897" w:type="dxa"/>
            <w:tcBorders>
              <w:top w:val="single" w:color="000000" w:sz="4" w:space="0"/>
              <w:left w:val="single" w:color="000000" w:sz="4" w:space="0"/>
              <w:bottom w:val="single" w:color="auto" w:sz="4" w:space="0"/>
              <w:right w:val="single" w:color="000000" w:sz="4" w:space="0"/>
            </w:tcBorders>
            <w:noWrap w:val="0"/>
            <w:vAlign w:val="center"/>
          </w:tcPr>
          <w:p w14:paraId="4BCC095F">
            <w:pPr>
              <w:keepNext w:val="0"/>
              <w:keepLines w:val="0"/>
              <w:widowControl/>
              <w:suppressLineNumbers w:val="0"/>
              <w:snapToGrid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信息监测。全面掌握辖区困境儿童及事实无人抚养儿童底数及分布，建档儿童按照一级风险（红色风险）、二级风险（橙色风险）、三级风险（黄色风险）和四级风险（绿色风险）四个等级分级分类提供精准服务。为儿童提供生活、学习用品等物资援助，开展安全教育、学业辅导、心理疏导、情感支持、监护指导及政策咨询等服务，全年在档服务困境儿童应不少于120人。</w:t>
            </w:r>
          </w:p>
        </w:tc>
        <w:tc>
          <w:tcPr>
            <w:tcW w:w="5101" w:type="dxa"/>
            <w:tcBorders>
              <w:top w:val="single" w:color="000000" w:sz="4" w:space="0"/>
              <w:left w:val="single" w:color="000000" w:sz="4" w:space="0"/>
              <w:bottom w:val="single" w:color="000000" w:sz="4" w:space="0"/>
              <w:right w:val="single" w:color="000000" w:sz="4" w:space="0"/>
            </w:tcBorders>
            <w:noWrap/>
            <w:vAlign w:val="center"/>
          </w:tcPr>
          <w:p w14:paraId="32D46B72">
            <w:pPr>
              <w:keepNext w:val="0"/>
              <w:keepLines w:val="0"/>
              <w:widowControl/>
              <w:suppressLineNumbers w:val="0"/>
              <w:snapToGrid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一级风险入户1次/周，电话1次/周；二级风险入户6次/年，电话12次/年；三级风险入户4次/年，电话8次/年；四级风险入户2次/年，电话4次/年。在发现一级风险未成年人后，应即时上报未保中心，并于两个自然日内完成评估报告和危机介入，及时进行危机干预。</w:t>
            </w:r>
          </w:p>
        </w:tc>
      </w:tr>
      <w:tr w14:paraId="70BCF0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622" w:hRule="atLeast"/>
          <w:jc w:val="center"/>
        </w:trPr>
        <w:tc>
          <w:tcPr>
            <w:tcW w:w="468" w:type="dxa"/>
            <w:vMerge w:val="continue"/>
            <w:tcBorders>
              <w:top w:val="single" w:color="000000" w:sz="4" w:space="0"/>
              <w:left w:val="single" w:color="000000" w:sz="4" w:space="0"/>
              <w:bottom w:val="single" w:color="000000" w:sz="4" w:space="0"/>
              <w:right w:val="single" w:color="000000" w:sz="4" w:space="0"/>
            </w:tcBorders>
            <w:noWrap/>
            <w:vAlign w:val="center"/>
          </w:tcPr>
          <w:p w14:paraId="5E727F42">
            <w:pPr>
              <w:snapToGrid w:val="0"/>
              <w:jc w:val="center"/>
              <w:rPr>
                <w:rFonts w:hint="eastAsia" w:ascii="仿宋" w:hAnsi="仿宋" w:eastAsia="仿宋" w:cs="仿宋"/>
                <w:b/>
                <w:bCs/>
                <w:i w:val="0"/>
                <w:iCs w:val="0"/>
                <w:color w:val="000000"/>
                <w:sz w:val="21"/>
                <w:szCs w:val="21"/>
                <w:u w:val="none"/>
              </w:rPr>
            </w:pPr>
          </w:p>
        </w:tc>
        <w:tc>
          <w:tcPr>
            <w:tcW w:w="2064" w:type="dxa"/>
            <w:vMerge w:val="continue"/>
            <w:tcBorders>
              <w:top w:val="single" w:color="000000" w:sz="4" w:space="0"/>
              <w:left w:val="single" w:color="000000" w:sz="4" w:space="0"/>
              <w:bottom w:val="single" w:color="000000" w:sz="4" w:space="0"/>
              <w:right w:val="single" w:color="auto" w:sz="4" w:space="0"/>
            </w:tcBorders>
            <w:noWrap w:val="0"/>
            <w:vAlign w:val="center"/>
          </w:tcPr>
          <w:p w14:paraId="3E94777B">
            <w:pPr>
              <w:snapToGrid w:val="0"/>
              <w:jc w:val="left"/>
              <w:rPr>
                <w:rFonts w:hint="eastAsia" w:ascii="仿宋" w:hAnsi="仿宋" w:eastAsia="仿宋" w:cs="仿宋"/>
                <w:i w:val="0"/>
                <w:iCs w:val="0"/>
                <w:color w:val="000000"/>
                <w:sz w:val="21"/>
                <w:szCs w:val="21"/>
                <w:u w:val="none"/>
              </w:rPr>
            </w:pPr>
          </w:p>
        </w:tc>
        <w:tc>
          <w:tcPr>
            <w:tcW w:w="450" w:type="dxa"/>
            <w:tcBorders>
              <w:top w:val="single" w:color="auto" w:sz="4" w:space="0"/>
              <w:left w:val="single" w:color="auto" w:sz="4" w:space="0"/>
              <w:bottom w:val="single" w:color="auto" w:sz="4" w:space="0"/>
              <w:right w:val="single" w:color="000000" w:sz="4" w:space="0"/>
            </w:tcBorders>
            <w:noWrap w:val="0"/>
            <w:vAlign w:val="center"/>
          </w:tcPr>
          <w:p w14:paraId="4B253425">
            <w:pPr>
              <w:snapToGrid w:val="0"/>
              <w:jc w:val="center"/>
              <w:rPr>
                <w:rFonts w:hint="eastAsia" w:ascii="仿宋" w:hAnsi="仿宋" w:eastAsia="仿宋" w:cs="仿宋"/>
                <w:b/>
                <w:bCs/>
                <w:i w:val="0"/>
                <w:iCs w:val="0"/>
                <w:color w:val="000000"/>
                <w:sz w:val="21"/>
                <w:szCs w:val="21"/>
                <w:u w:val="none"/>
                <w:lang w:val="en-US" w:eastAsia="zh-CN"/>
              </w:rPr>
            </w:pPr>
            <w:r>
              <w:rPr>
                <w:rFonts w:hint="eastAsia" w:ascii="仿宋" w:hAnsi="仿宋" w:eastAsia="仿宋" w:cs="仿宋"/>
                <w:b/>
                <w:bCs/>
                <w:i w:val="0"/>
                <w:iCs w:val="0"/>
                <w:color w:val="000000"/>
                <w:sz w:val="21"/>
                <w:szCs w:val="21"/>
                <w:u w:val="none"/>
                <w:lang w:val="en-US" w:eastAsia="zh-CN"/>
              </w:rPr>
              <w:t>6</w:t>
            </w:r>
          </w:p>
        </w:tc>
        <w:tc>
          <w:tcPr>
            <w:tcW w:w="6897" w:type="dxa"/>
            <w:tcBorders>
              <w:top w:val="single" w:color="auto" w:sz="4" w:space="0"/>
              <w:left w:val="single" w:color="000000" w:sz="4" w:space="0"/>
              <w:bottom w:val="single" w:color="auto" w:sz="4" w:space="0"/>
              <w:right w:val="single" w:color="000000" w:sz="4" w:space="0"/>
            </w:tcBorders>
            <w:noWrap w:val="0"/>
            <w:vAlign w:val="center"/>
          </w:tcPr>
          <w:p w14:paraId="15612A54">
            <w:pPr>
              <w:keepNext w:val="0"/>
              <w:keepLines w:val="0"/>
              <w:widowControl/>
              <w:suppressLineNumbers w:val="0"/>
              <w:snapToGrid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强制报告。履行强制报告责任，在工作中发现未成年人疑似遭受侵害等情形，第一时间向公安部门及上级主管部门报告，做好信息记录和报告登记。</w:t>
            </w:r>
          </w:p>
        </w:tc>
        <w:tc>
          <w:tcPr>
            <w:tcW w:w="5101" w:type="dxa"/>
            <w:tcBorders>
              <w:top w:val="single" w:color="000000" w:sz="4" w:space="0"/>
              <w:left w:val="single" w:color="000000" w:sz="4" w:space="0"/>
              <w:bottom w:val="single" w:color="000000" w:sz="4" w:space="0"/>
              <w:right w:val="single" w:color="000000" w:sz="4" w:space="0"/>
            </w:tcBorders>
            <w:noWrap/>
            <w:vAlign w:val="center"/>
          </w:tcPr>
          <w:p w14:paraId="2EBC2584">
            <w:pPr>
              <w:keepNext w:val="0"/>
              <w:keepLines w:val="0"/>
              <w:widowControl/>
              <w:suppressLineNumbers w:val="0"/>
              <w:snapToGrid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强制报告及处置的相关记录。</w:t>
            </w:r>
          </w:p>
        </w:tc>
      </w:tr>
      <w:tr w14:paraId="4475FF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516" w:hRule="atLeast"/>
          <w:jc w:val="center"/>
        </w:trPr>
        <w:tc>
          <w:tcPr>
            <w:tcW w:w="468" w:type="dxa"/>
            <w:vMerge w:val="continue"/>
            <w:tcBorders>
              <w:top w:val="single" w:color="000000" w:sz="4" w:space="0"/>
              <w:left w:val="single" w:color="000000" w:sz="4" w:space="0"/>
              <w:bottom w:val="single" w:color="000000" w:sz="4" w:space="0"/>
              <w:right w:val="single" w:color="000000" w:sz="4" w:space="0"/>
            </w:tcBorders>
            <w:noWrap/>
            <w:vAlign w:val="center"/>
          </w:tcPr>
          <w:p w14:paraId="76232FD1">
            <w:pPr>
              <w:snapToGrid w:val="0"/>
              <w:jc w:val="center"/>
              <w:rPr>
                <w:rFonts w:hint="eastAsia" w:ascii="仿宋" w:hAnsi="仿宋" w:eastAsia="仿宋" w:cs="仿宋"/>
                <w:b/>
                <w:bCs/>
                <w:i w:val="0"/>
                <w:iCs w:val="0"/>
                <w:color w:val="000000"/>
                <w:sz w:val="21"/>
                <w:szCs w:val="21"/>
                <w:u w:val="none"/>
              </w:rPr>
            </w:pPr>
          </w:p>
        </w:tc>
        <w:tc>
          <w:tcPr>
            <w:tcW w:w="2064" w:type="dxa"/>
            <w:vMerge w:val="continue"/>
            <w:tcBorders>
              <w:top w:val="single" w:color="000000" w:sz="4" w:space="0"/>
              <w:left w:val="single" w:color="000000" w:sz="4" w:space="0"/>
              <w:bottom w:val="single" w:color="000000" w:sz="4" w:space="0"/>
              <w:right w:val="single" w:color="auto" w:sz="4" w:space="0"/>
            </w:tcBorders>
            <w:noWrap w:val="0"/>
            <w:vAlign w:val="center"/>
          </w:tcPr>
          <w:p w14:paraId="076AB1E6">
            <w:pPr>
              <w:snapToGrid w:val="0"/>
              <w:jc w:val="left"/>
              <w:rPr>
                <w:rFonts w:hint="eastAsia" w:ascii="仿宋" w:hAnsi="仿宋" w:eastAsia="仿宋" w:cs="仿宋"/>
                <w:i w:val="0"/>
                <w:iCs w:val="0"/>
                <w:color w:val="000000"/>
                <w:sz w:val="21"/>
                <w:szCs w:val="21"/>
                <w:u w:val="none"/>
              </w:rPr>
            </w:pPr>
          </w:p>
        </w:tc>
        <w:tc>
          <w:tcPr>
            <w:tcW w:w="450" w:type="dxa"/>
            <w:tcBorders>
              <w:top w:val="single" w:color="auto" w:sz="4" w:space="0"/>
              <w:left w:val="single" w:color="auto" w:sz="4" w:space="0"/>
              <w:bottom w:val="single" w:color="auto" w:sz="4" w:space="0"/>
              <w:right w:val="single" w:color="000000" w:sz="4" w:space="0"/>
            </w:tcBorders>
            <w:noWrap w:val="0"/>
            <w:vAlign w:val="center"/>
          </w:tcPr>
          <w:p w14:paraId="78EE3728">
            <w:pPr>
              <w:snapToGrid w:val="0"/>
              <w:jc w:val="center"/>
              <w:rPr>
                <w:rFonts w:hint="eastAsia" w:ascii="仿宋" w:hAnsi="仿宋" w:eastAsia="仿宋" w:cs="仿宋"/>
                <w:b/>
                <w:bCs/>
                <w:i w:val="0"/>
                <w:iCs w:val="0"/>
                <w:color w:val="000000"/>
                <w:sz w:val="21"/>
                <w:szCs w:val="21"/>
                <w:u w:val="none"/>
                <w:lang w:val="en-US" w:eastAsia="zh-CN"/>
              </w:rPr>
            </w:pPr>
            <w:r>
              <w:rPr>
                <w:rFonts w:hint="eastAsia" w:ascii="仿宋" w:hAnsi="仿宋" w:eastAsia="仿宋" w:cs="仿宋"/>
                <w:b/>
                <w:bCs/>
                <w:i w:val="0"/>
                <w:iCs w:val="0"/>
                <w:color w:val="000000"/>
                <w:sz w:val="21"/>
                <w:szCs w:val="21"/>
                <w:u w:val="none"/>
                <w:lang w:val="en-US" w:eastAsia="zh-CN"/>
              </w:rPr>
              <w:t>7</w:t>
            </w:r>
          </w:p>
        </w:tc>
        <w:tc>
          <w:tcPr>
            <w:tcW w:w="6897" w:type="dxa"/>
            <w:tcBorders>
              <w:top w:val="single" w:color="auto" w:sz="4" w:space="0"/>
              <w:left w:val="single" w:color="000000" w:sz="4" w:space="0"/>
              <w:bottom w:val="single" w:color="auto" w:sz="4" w:space="0"/>
              <w:right w:val="single" w:color="000000" w:sz="4" w:space="0"/>
            </w:tcBorders>
            <w:noWrap w:val="0"/>
            <w:vAlign w:val="center"/>
          </w:tcPr>
          <w:p w14:paraId="456927B4">
            <w:pPr>
              <w:keepNext w:val="0"/>
              <w:keepLines w:val="0"/>
              <w:widowControl/>
              <w:suppressLineNumbers w:val="0"/>
              <w:snapToGrid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发现报告。畅通未成年人保护个案的发现报告渠道，民政部门转介的发现报告信息，组织2名以上评估人员组成评估小组，于两个自然日内完成评估，出具评估报告提出跟进建议。对通过12345热线及本人主动求助的相关线索及时进行处理并进行反馈，超出范围的按责转介有关部门和单位。对需要紧急安置的未成年人，配合未成年人救助保护机构将儿童妥善安置。</w:t>
            </w:r>
          </w:p>
        </w:tc>
        <w:tc>
          <w:tcPr>
            <w:tcW w:w="5101" w:type="dxa"/>
            <w:tcBorders>
              <w:top w:val="single" w:color="000000" w:sz="4" w:space="0"/>
              <w:left w:val="single" w:color="000000" w:sz="4" w:space="0"/>
              <w:bottom w:val="single" w:color="000000" w:sz="4" w:space="0"/>
              <w:right w:val="single" w:color="000000" w:sz="4" w:space="0"/>
            </w:tcBorders>
            <w:noWrap/>
            <w:vAlign w:val="center"/>
          </w:tcPr>
          <w:p w14:paraId="5E6FAA3B">
            <w:pPr>
              <w:keepNext w:val="0"/>
              <w:keepLines w:val="0"/>
              <w:widowControl/>
              <w:suppressLineNumbers w:val="0"/>
              <w:snapToGrid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发现报告台账、发现报告登记表、12345热线的接听和处理记录等材料。</w:t>
            </w:r>
          </w:p>
        </w:tc>
      </w:tr>
      <w:tr w14:paraId="70CF36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622" w:hRule="atLeast"/>
          <w:jc w:val="center"/>
        </w:trPr>
        <w:tc>
          <w:tcPr>
            <w:tcW w:w="468" w:type="dxa"/>
            <w:vMerge w:val="continue"/>
            <w:tcBorders>
              <w:top w:val="single" w:color="000000" w:sz="4" w:space="0"/>
              <w:left w:val="single" w:color="000000" w:sz="4" w:space="0"/>
              <w:bottom w:val="single" w:color="000000" w:sz="4" w:space="0"/>
              <w:right w:val="single" w:color="000000" w:sz="4" w:space="0"/>
            </w:tcBorders>
            <w:noWrap/>
            <w:vAlign w:val="center"/>
          </w:tcPr>
          <w:p w14:paraId="0E3CCC04">
            <w:pPr>
              <w:snapToGrid w:val="0"/>
              <w:jc w:val="center"/>
              <w:rPr>
                <w:rFonts w:hint="eastAsia" w:ascii="仿宋" w:hAnsi="仿宋" w:eastAsia="仿宋" w:cs="仿宋"/>
                <w:b/>
                <w:bCs/>
                <w:i w:val="0"/>
                <w:iCs w:val="0"/>
                <w:color w:val="000000"/>
                <w:sz w:val="21"/>
                <w:szCs w:val="21"/>
                <w:u w:val="none"/>
              </w:rPr>
            </w:pPr>
          </w:p>
        </w:tc>
        <w:tc>
          <w:tcPr>
            <w:tcW w:w="2064" w:type="dxa"/>
            <w:vMerge w:val="continue"/>
            <w:tcBorders>
              <w:top w:val="single" w:color="000000" w:sz="4" w:space="0"/>
              <w:left w:val="single" w:color="000000" w:sz="4" w:space="0"/>
              <w:bottom w:val="single" w:color="000000" w:sz="4" w:space="0"/>
              <w:right w:val="single" w:color="auto" w:sz="4" w:space="0"/>
            </w:tcBorders>
            <w:noWrap w:val="0"/>
            <w:vAlign w:val="center"/>
          </w:tcPr>
          <w:p w14:paraId="27A688DE">
            <w:pPr>
              <w:snapToGrid w:val="0"/>
              <w:jc w:val="left"/>
              <w:rPr>
                <w:rFonts w:hint="eastAsia" w:ascii="仿宋" w:hAnsi="仿宋" w:eastAsia="仿宋" w:cs="仿宋"/>
                <w:i w:val="0"/>
                <w:iCs w:val="0"/>
                <w:color w:val="000000"/>
                <w:sz w:val="21"/>
                <w:szCs w:val="21"/>
                <w:u w:val="none"/>
              </w:rPr>
            </w:pPr>
          </w:p>
        </w:tc>
        <w:tc>
          <w:tcPr>
            <w:tcW w:w="450" w:type="dxa"/>
            <w:tcBorders>
              <w:top w:val="single" w:color="auto" w:sz="4" w:space="0"/>
              <w:left w:val="single" w:color="auto" w:sz="4" w:space="0"/>
              <w:bottom w:val="single" w:color="auto" w:sz="4" w:space="0"/>
              <w:right w:val="single" w:color="000000" w:sz="4" w:space="0"/>
            </w:tcBorders>
            <w:noWrap w:val="0"/>
            <w:vAlign w:val="center"/>
          </w:tcPr>
          <w:p w14:paraId="5879E1E9">
            <w:pPr>
              <w:snapToGrid w:val="0"/>
              <w:jc w:val="center"/>
              <w:rPr>
                <w:rFonts w:hint="eastAsia" w:ascii="仿宋" w:hAnsi="仿宋" w:eastAsia="仿宋" w:cs="仿宋"/>
                <w:b/>
                <w:bCs/>
                <w:i w:val="0"/>
                <w:iCs w:val="0"/>
                <w:color w:val="000000"/>
                <w:sz w:val="21"/>
                <w:szCs w:val="21"/>
                <w:u w:val="none"/>
                <w:lang w:val="en-US" w:eastAsia="zh-CN"/>
              </w:rPr>
            </w:pPr>
            <w:r>
              <w:rPr>
                <w:rFonts w:hint="eastAsia" w:ascii="仿宋" w:hAnsi="仿宋" w:eastAsia="仿宋" w:cs="仿宋"/>
                <w:b/>
                <w:bCs/>
                <w:i w:val="0"/>
                <w:iCs w:val="0"/>
                <w:color w:val="000000"/>
                <w:sz w:val="21"/>
                <w:szCs w:val="21"/>
                <w:u w:val="none"/>
                <w:lang w:val="en-US" w:eastAsia="zh-CN"/>
              </w:rPr>
              <w:t>8</w:t>
            </w:r>
          </w:p>
        </w:tc>
        <w:tc>
          <w:tcPr>
            <w:tcW w:w="6897" w:type="dxa"/>
            <w:tcBorders>
              <w:top w:val="single" w:color="auto" w:sz="4" w:space="0"/>
              <w:left w:val="single" w:color="000000" w:sz="4" w:space="0"/>
              <w:bottom w:val="single" w:color="auto" w:sz="4" w:space="0"/>
              <w:right w:val="single" w:color="000000" w:sz="4" w:space="0"/>
            </w:tcBorders>
            <w:noWrap w:val="0"/>
            <w:vAlign w:val="center"/>
          </w:tcPr>
          <w:p w14:paraId="66D07188">
            <w:pPr>
              <w:keepNext w:val="0"/>
              <w:keepLines w:val="0"/>
              <w:widowControl/>
              <w:suppressLineNumbers w:val="0"/>
              <w:snapToGrid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结案回访。根据建档儿童服务情况，适时进行结案评估，形成结案评估记录表。儿童结案后一年内需进行2次回访，回访形式多样，并做好回访记录。</w:t>
            </w:r>
          </w:p>
        </w:tc>
        <w:tc>
          <w:tcPr>
            <w:tcW w:w="5101" w:type="dxa"/>
            <w:tcBorders>
              <w:top w:val="single" w:color="000000" w:sz="4" w:space="0"/>
              <w:left w:val="single" w:color="000000" w:sz="4" w:space="0"/>
              <w:bottom w:val="single" w:color="000000" w:sz="4" w:space="0"/>
              <w:right w:val="single" w:color="000000" w:sz="4" w:space="0"/>
            </w:tcBorders>
            <w:noWrap w:val="0"/>
            <w:vAlign w:val="center"/>
          </w:tcPr>
          <w:p w14:paraId="382BE511">
            <w:pPr>
              <w:keepNext w:val="0"/>
              <w:keepLines w:val="0"/>
              <w:widowControl/>
              <w:suppressLineNumbers w:val="0"/>
              <w:snapToGrid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结案表、回访记录等。</w:t>
            </w:r>
          </w:p>
        </w:tc>
      </w:tr>
      <w:tr w14:paraId="293D78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482" w:hRule="atLeast"/>
          <w:jc w:val="center"/>
        </w:trPr>
        <w:tc>
          <w:tcPr>
            <w:tcW w:w="468" w:type="dxa"/>
            <w:vMerge w:val="continue"/>
            <w:tcBorders>
              <w:top w:val="single" w:color="000000" w:sz="4" w:space="0"/>
              <w:left w:val="single" w:color="000000" w:sz="4" w:space="0"/>
              <w:bottom w:val="single" w:color="000000" w:sz="4" w:space="0"/>
              <w:right w:val="single" w:color="000000" w:sz="4" w:space="0"/>
            </w:tcBorders>
            <w:noWrap/>
            <w:vAlign w:val="center"/>
          </w:tcPr>
          <w:p w14:paraId="3A73D112">
            <w:pPr>
              <w:snapToGrid w:val="0"/>
              <w:jc w:val="center"/>
              <w:rPr>
                <w:rFonts w:hint="eastAsia" w:ascii="仿宋" w:hAnsi="仿宋" w:eastAsia="仿宋" w:cs="仿宋"/>
                <w:b/>
                <w:bCs/>
                <w:i w:val="0"/>
                <w:iCs w:val="0"/>
                <w:color w:val="000000"/>
                <w:sz w:val="21"/>
                <w:szCs w:val="21"/>
                <w:u w:val="none"/>
              </w:rPr>
            </w:pPr>
          </w:p>
        </w:tc>
        <w:tc>
          <w:tcPr>
            <w:tcW w:w="2064" w:type="dxa"/>
            <w:vMerge w:val="continue"/>
            <w:tcBorders>
              <w:top w:val="single" w:color="000000" w:sz="4" w:space="0"/>
              <w:left w:val="single" w:color="000000" w:sz="4" w:space="0"/>
              <w:bottom w:val="single" w:color="000000" w:sz="4" w:space="0"/>
              <w:right w:val="single" w:color="auto" w:sz="4" w:space="0"/>
            </w:tcBorders>
            <w:noWrap w:val="0"/>
            <w:vAlign w:val="center"/>
          </w:tcPr>
          <w:p w14:paraId="17F15EAB">
            <w:pPr>
              <w:snapToGrid w:val="0"/>
              <w:jc w:val="left"/>
              <w:rPr>
                <w:rFonts w:hint="eastAsia" w:ascii="仿宋" w:hAnsi="仿宋" w:eastAsia="仿宋" w:cs="仿宋"/>
                <w:i w:val="0"/>
                <w:iCs w:val="0"/>
                <w:color w:val="000000"/>
                <w:sz w:val="21"/>
                <w:szCs w:val="21"/>
                <w:u w:val="none"/>
              </w:rPr>
            </w:pPr>
          </w:p>
        </w:tc>
        <w:tc>
          <w:tcPr>
            <w:tcW w:w="450" w:type="dxa"/>
            <w:tcBorders>
              <w:top w:val="single" w:color="auto" w:sz="4" w:space="0"/>
              <w:left w:val="single" w:color="auto" w:sz="4" w:space="0"/>
              <w:bottom w:val="single" w:color="000000" w:sz="4" w:space="0"/>
              <w:right w:val="single" w:color="000000" w:sz="4" w:space="0"/>
            </w:tcBorders>
            <w:noWrap w:val="0"/>
            <w:vAlign w:val="center"/>
          </w:tcPr>
          <w:p w14:paraId="0C568A24">
            <w:pPr>
              <w:snapToGrid w:val="0"/>
              <w:jc w:val="center"/>
              <w:rPr>
                <w:rFonts w:hint="eastAsia" w:ascii="仿宋" w:hAnsi="仿宋" w:eastAsia="仿宋" w:cs="仿宋"/>
                <w:b/>
                <w:bCs/>
                <w:i w:val="0"/>
                <w:iCs w:val="0"/>
                <w:color w:val="000000"/>
                <w:sz w:val="21"/>
                <w:szCs w:val="21"/>
                <w:u w:val="none"/>
                <w:lang w:val="en-US" w:eastAsia="zh-CN"/>
              </w:rPr>
            </w:pPr>
            <w:r>
              <w:rPr>
                <w:rFonts w:hint="eastAsia" w:ascii="仿宋" w:hAnsi="仿宋" w:eastAsia="仿宋" w:cs="仿宋"/>
                <w:b/>
                <w:bCs/>
                <w:i w:val="0"/>
                <w:iCs w:val="0"/>
                <w:color w:val="000000"/>
                <w:sz w:val="21"/>
                <w:szCs w:val="21"/>
                <w:u w:val="none"/>
                <w:lang w:val="en-US" w:eastAsia="zh-CN"/>
              </w:rPr>
              <w:t>9</w:t>
            </w:r>
          </w:p>
        </w:tc>
        <w:tc>
          <w:tcPr>
            <w:tcW w:w="6897" w:type="dxa"/>
            <w:tcBorders>
              <w:top w:val="single" w:color="auto" w:sz="4" w:space="0"/>
              <w:left w:val="single" w:color="000000" w:sz="4" w:space="0"/>
              <w:bottom w:val="single" w:color="000000" w:sz="4" w:space="0"/>
              <w:right w:val="single" w:color="000000" w:sz="4" w:space="0"/>
            </w:tcBorders>
            <w:noWrap w:val="0"/>
            <w:vAlign w:val="center"/>
          </w:tcPr>
          <w:p w14:paraId="37026FB4">
            <w:pPr>
              <w:keepNext w:val="0"/>
              <w:keepLines w:val="0"/>
              <w:widowControl/>
              <w:suppressLineNumbers w:val="0"/>
              <w:snapToGrid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个案会商。对有需要的儿童采取“一事一议”的形式配合多部门进行个案会商，保障儿童利益最大化。</w:t>
            </w:r>
          </w:p>
        </w:tc>
        <w:tc>
          <w:tcPr>
            <w:tcW w:w="5101" w:type="dxa"/>
            <w:tcBorders>
              <w:top w:val="single" w:color="000000" w:sz="4" w:space="0"/>
              <w:left w:val="single" w:color="000000" w:sz="4" w:space="0"/>
              <w:bottom w:val="single" w:color="000000" w:sz="4" w:space="0"/>
              <w:right w:val="single" w:color="000000" w:sz="4" w:space="0"/>
            </w:tcBorders>
            <w:noWrap w:val="0"/>
            <w:vAlign w:val="center"/>
          </w:tcPr>
          <w:p w14:paraId="17CA3D34">
            <w:pPr>
              <w:keepNext w:val="0"/>
              <w:keepLines w:val="0"/>
              <w:widowControl/>
              <w:suppressLineNumbers w:val="0"/>
              <w:snapToGrid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个案会商相关记录及结果等。</w:t>
            </w:r>
          </w:p>
        </w:tc>
      </w:tr>
      <w:tr w14:paraId="2021E2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1024" w:hRule="atLeast"/>
          <w:jc w:val="center"/>
        </w:trPr>
        <w:tc>
          <w:tcPr>
            <w:tcW w:w="468" w:type="dxa"/>
            <w:vMerge w:val="restart"/>
            <w:tcBorders>
              <w:top w:val="single" w:color="000000" w:sz="4" w:space="0"/>
              <w:left w:val="single" w:color="000000" w:sz="4" w:space="0"/>
              <w:bottom w:val="single" w:color="auto" w:sz="4" w:space="0"/>
              <w:right w:val="single" w:color="000000" w:sz="4" w:space="0"/>
            </w:tcBorders>
            <w:shd w:val="clear" w:color="auto" w:fill="FFFFFF"/>
            <w:noWrap/>
            <w:vAlign w:val="center"/>
          </w:tcPr>
          <w:p w14:paraId="21C2CCC0">
            <w:pPr>
              <w:keepNext w:val="0"/>
              <w:keepLines w:val="0"/>
              <w:widowControl/>
              <w:suppressLineNumbers w:val="0"/>
              <w:snapToGrid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3</w:t>
            </w:r>
          </w:p>
        </w:tc>
        <w:tc>
          <w:tcPr>
            <w:tcW w:w="2064" w:type="dxa"/>
            <w:vMerge w:val="restart"/>
            <w:tcBorders>
              <w:top w:val="single" w:color="000000" w:sz="4" w:space="0"/>
              <w:left w:val="single" w:color="000000" w:sz="4" w:space="0"/>
              <w:right w:val="single" w:color="auto" w:sz="4" w:space="0"/>
            </w:tcBorders>
            <w:shd w:val="clear" w:color="auto" w:fill="FFFFFF"/>
            <w:noWrap w:val="0"/>
            <w:vAlign w:val="center"/>
          </w:tcPr>
          <w:p w14:paraId="6ADD16E6">
            <w:pPr>
              <w:snapToGrid w:val="0"/>
              <w:jc w:val="left"/>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深化专业建设。构建扎实的专业体系，实现服务提质增效，更好地践行社会使命</w:t>
            </w:r>
          </w:p>
        </w:tc>
        <w:tc>
          <w:tcPr>
            <w:tcW w:w="450" w:type="dxa"/>
            <w:tcBorders>
              <w:top w:val="single" w:color="000000" w:sz="4" w:space="0"/>
              <w:left w:val="single" w:color="auto" w:sz="4" w:space="0"/>
              <w:bottom w:val="single" w:color="auto" w:sz="4" w:space="0"/>
              <w:right w:val="single" w:color="000000" w:sz="4" w:space="0"/>
            </w:tcBorders>
            <w:shd w:val="clear" w:color="auto" w:fill="FFFFFF"/>
            <w:noWrap w:val="0"/>
            <w:vAlign w:val="center"/>
          </w:tcPr>
          <w:p w14:paraId="738D9A63">
            <w:pPr>
              <w:keepNext w:val="0"/>
              <w:keepLines w:val="0"/>
              <w:widowControl/>
              <w:suppressLineNumbers w:val="0"/>
              <w:snapToGrid w:val="0"/>
              <w:jc w:val="center"/>
              <w:textAlignment w:val="center"/>
              <w:rPr>
                <w:rFonts w:hint="eastAsia" w:ascii="仿宋" w:hAnsi="仿宋" w:eastAsia="仿宋" w:cs="仿宋"/>
                <w:b/>
                <w:bCs/>
                <w:i w:val="0"/>
                <w:iCs w:val="0"/>
                <w:color w:val="000000"/>
                <w:kern w:val="0"/>
                <w:sz w:val="21"/>
                <w:szCs w:val="21"/>
                <w:u w:val="none"/>
                <w:lang w:val="en-US" w:eastAsia="zh-CN" w:bidi="ar"/>
              </w:rPr>
            </w:pPr>
            <w:r>
              <w:rPr>
                <w:rFonts w:hint="eastAsia" w:ascii="仿宋" w:hAnsi="仿宋" w:eastAsia="仿宋" w:cs="仿宋"/>
                <w:b/>
                <w:bCs/>
                <w:i w:val="0"/>
                <w:iCs w:val="0"/>
                <w:color w:val="000000"/>
                <w:kern w:val="0"/>
                <w:sz w:val="21"/>
                <w:szCs w:val="21"/>
                <w:u w:val="none"/>
                <w:lang w:val="en-US" w:eastAsia="zh-CN" w:bidi="ar"/>
              </w:rPr>
              <w:t>10</w:t>
            </w:r>
          </w:p>
        </w:tc>
        <w:tc>
          <w:tcPr>
            <w:tcW w:w="6897" w:type="dxa"/>
            <w:tcBorders>
              <w:top w:val="single" w:color="000000" w:sz="4" w:space="0"/>
              <w:left w:val="single" w:color="000000" w:sz="4" w:space="0"/>
              <w:bottom w:val="single" w:color="auto" w:sz="4" w:space="0"/>
              <w:right w:val="single" w:color="000000" w:sz="4" w:space="0"/>
            </w:tcBorders>
            <w:shd w:val="clear" w:color="auto" w:fill="FFFFFF"/>
            <w:noWrap w:val="0"/>
            <w:vAlign w:val="center"/>
          </w:tcPr>
          <w:p w14:paraId="7BBD4DCA">
            <w:pPr>
              <w:keepNext w:val="0"/>
              <w:keepLines w:val="0"/>
              <w:widowControl/>
              <w:suppressLineNumbers w:val="0"/>
              <w:snapToGrid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项目督导。项目需配备专业社会工作督导，通过定期和持续对机构社工的监督、指导，传授专业服务的知识和技术，以增进人员专业技巧并确保服务质量。原则上每月开展 1 次督导，可根据项目实际情况和经费安排作出调整，全年不少于 10 次。</w:t>
            </w:r>
          </w:p>
        </w:tc>
        <w:tc>
          <w:tcPr>
            <w:tcW w:w="5101"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A62050F">
            <w:pPr>
              <w:keepNext w:val="0"/>
              <w:keepLines w:val="0"/>
              <w:widowControl/>
              <w:suppressLineNumbers w:val="0"/>
              <w:snapToGrid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督导资质，督导记录，督导反馈表等。</w:t>
            </w:r>
          </w:p>
        </w:tc>
      </w:tr>
      <w:tr w14:paraId="438F2D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474" w:hRule="atLeast"/>
          <w:jc w:val="center"/>
        </w:trPr>
        <w:tc>
          <w:tcPr>
            <w:tcW w:w="468" w:type="dxa"/>
            <w:vMerge w:val="continue"/>
            <w:tcBorders>
              <w:top w:val="single" w:color="auto" w:sz="4" w:space="0"/>
              <w:left w:val="single" w:color="000000" w:sz="4" w:space="0"/>
              <w:bottom w:val="single" w:color="auto" w:sz="4" w:space="0"/>
              <w:right w:val="single" w:color="000000" w:sz="4" w:space="0"/>
            </w:tcBorders>
            <w:shd w:val="clear" w:color="auto" w:fill="FFFFFF"/>
            <w:noWrap/>
            <w:vAlign w:val="center"/>
          </w:tcPr>
          <w:p w14:paraId="133302C0">
            <w:pPr>
              <w:snapToGrid w:val="0"/>
              <w:jc w:val="center"/>
              <w:rPr>
                <w:rFonts w:hint="eastAsia" w:ascii="仿宋" w:hAnsi="仿宋" w:eastAsia="仿宋" w:cs="仿宋"/>
                <w:b/>
                <w:bCs/>
                <w:i w:val="0"/>
                <w:iCs w:val="0"/>
                <w:color w:val="000000"/>
                <w:sz w:val="21"/>
                <w:szCs w:val="21"/>
                <w:u w:val="none"/>
              </w:rPr>
            </w:pPr>
          </w:p>
        </w:tc>
        <w:tc>
          <w:tcPr>
            <w:tcW w:w="2064" w:type="dxa"/>
            <w:vMerge w:val="continue"/>
            <w:tcBorders>
              <w:left w:val="single" w:color="000000" w:sz="4" w:space="0"/>
              <w:right w:val="single" w:color="auto" w:sz="4" w:space="0"/>
            </w:tcBorders>
            <w:shd w:val="clear" w:color="auto" w:fill="FFFFFF"/>
            <w:noWrap w:val="0"/>
            <w:vAlign w:val="center"/>
          </w:tcPr>
          <w:p w14:paraId="0ACCD1E8">
            <w:pPr>
              <w:snapToGrid w:val="0"/>
              <w:jc w:val="left"/>
              <w:rPr>
                <w:rFonts w:hint="eastAsia" w:ascii="仿宋" w:hAnsi="仿宋" w:eastAsia="仿宋" w:cs="仿宋"/>
                <w:i w:val="0"/>
                <w:iCs w:val="0"/>
                <w:color w:val="000000"/>
                <w:sz w:val="21"/>
                <w:szCs w:val="21"/>
                <w:u w:val="none"/>
              </w:rPr>
            </w:pPr>
          </w:p>
        </w:tc>
        <w:tc>
          <w:tcPr>
            <w:tcW w:w="450" w:type="dxa"/>
            <w:tcBorders>
              <w:top w:val="single" w:color="auto" w:sz="4" w:space="0"/>
              <w:left w:val="single" w:color="auto" w:sz="4" w:space="0"/>
              <w:bottom w:val="single" w:color="auto" w:sz="4" w:space="0"/>
              <w:right w:val="single" w:color="000000" w:sz="4" w:space="0"/>
            </w:tcBorders>
            <w:shd w:val="clear" w:color="auto" w:fill="FFFFFF"/>
            <w:noWrap w:val="0"/>
            <w:vAlign w:val="center"/>
          </w:tcPr>
          <w:p w14:paraId="7DDE1E57">
            <w:pPr>
              <w:snapToGrid w:val="0"/>
              <w:jc w:val="center"/>
              <w:rPr>
                <w:rFonts w:hint="eastAsia" w:ascii="仿宋" w:hAnsi="仿宋" w:eastAsia="仿宋" w:cs="仿宋"/>
                <w:b/>
                <w:bCs/>
                <w:i w:val="0"/>
                <w:iCs w:val="0"/>
                <w:color w:val="000000"/>
                <w:sz w:val="21"/>
                <w:szCs w:val="21"/>
                <w:u w:val="none"/>
                <w:lang w:val="en-US" w:eastAsia="zh-CN"/>
              </w:rPr>
            </w:pPr>
            <w:r>
              <w:rPr>
                <w:rFonts w:hint="eastAsia" w:ascii="仿宋" w:hAnsi="仿宋" w:eastAsia="仿宋" w:cs="仿宋"/>
                <w:b/>
                <w:bCs/>
                <w:i w:val="0"/>
                <w:iCs w:val="0"/>
                <w:color w:val="000000"/>
                <w:sz w:val="21"/>
                <w:szCs w:val="21"/>
                <w:u w:val="none"/>
                <w:lang w:val="en-US" w:eastAsia="zh-CN"/>
              </w:rPr>
              <w:t>11</w:t>
            </w:r>
          </w:p>
        </w:tc>
        <w:tc>
          <w:tcPr>
            <w:tcW w:w="6897" w:type="dxa"/>
            <w:tcBorders>
              <w:top w:val="single" w:color="auto" w:sz="4" w:space="0"/>
              <w:left w:val="single" w:color="000000" w:sz="4" w:space="0"/>
              <w:bottom w:val="single" w:color="000000" w:sz="4" w:space="0"/>
              <w:right w:val="single" w:color="000000" w:sz="4" w:space="0"/>
            </w:tcBorders>
            <w:shd w:val="clear" w:color="auto" w:fill="FFFFFF"/>
            <w:noWrap w:val="0"/>
            <w:vAlign w:val="center"/>
          </w:tcPr>
          <w:p w14:paraId="323EE021">
            <w:pPr>
              <w:keepNext w:val="0"/>
              <w:keepLines w:val="0"/>
              <w:widowControl/>
              <w:suppressLineNumbers w:val="0"/>
              <w:snapToGrid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项目评估。项目应接受甲方监督，并邀请甲方指定的第三方机构进行评估。</w:t>
            </w:r>
          </w:p>
        </w:tc>
        <w:tc>
          <w:tcPr>
            <w:tcW w:w="5101"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0BA2526">
            <w:pPr>
              <w:keepNext w:val="0"/>
              <w:keepLines w:val="0"/>
              <w:widowControl/>
              <w:suppressLineNumbers w:val="0"/>
              <w:snapToGrid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按评估要求准备相关资料。</w:t>
            </w:r>
          </w:p>
        </w:tc>
      </w:tr>
      <w:tr w14:paraId="31FF73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1024" w:hRule="atLeast"/>
          <w:jc w:val="center"/>
        </w:trPr>
        <w:tc>
          <w:tcPr>
            <w:tcW w:w="468" w:type="dxa"/>
            <w:vMerge w:val="continue"/>
            <w:tcBorders>
              <w:top w:val="single" w:color="auto" w:sz="4" w:space="0"/>
              <w:left w:val="single" w:color="000000" w:sz="4" w:space="0"/>
              <w:bottom w:val="single" w:color="auto" w:sz="4" w:space="0"/>
              <w:right w:val="single" w:color="000000" w:sz="4" w:space="0"/>
            </w:tcBorders>
            <w:shd w:val="clear" w:color="auto" w:fill="FFFFFF"/>
            <w:noWrap/>
            <w:vAlign w:val="center"/>
          </w:tcPr>
          <w:p w14:paraId="255550F6">
            <w:pPr>
              <w:snapToGrid w:val="0"/>
              <w:jc w:val="center"/>
              <w:rPr>
                <w:rFonts w:hint="eastAsia" w:ascii="仿宋" w:hAnsi="仿宋" w:eastAsia="仿宋" w:cs="仿宋"/>
                <w:b/>
                <w:bCs/>
                <w:i w:val="0"/>
                <w:iCs w:val="0"/>
                <w:color w:val="000000"/>
                <w:sz w:val="21"/>
                <w:szCs w:val="21"/>
                <w:u w:val="none"/>
              </w:rPr>
            </w:pPr>
          </w:p>
        </w:tc>
        <w:tc>
          <w:tcPr>
            <w:tcW w:w="2064" w:type="dxa"/>
            <w:vMerge w:val="continue"/>
            <w:tcBorders>
              <w:left w:val="single" w:color="000000" w:sz="4" w:space="0"/>
              <w:right w:val="single" w:color="auto" w:sz="4" w:space="0"/>
            </w:tcBorders>
            <w:shd w:val="clear" w:color="auto" w:fill="FFFFFF"/>
            <w:noWrap w:val="0"/>
            <w:vAlign w:val="center"/>
          </w:tcPr>
          <w:p w14:paraId="532F75D4">
            <w:pPr>
              <w:snapToGrid w:val="0"/>
              <w:jc w:val="left"/>
              <w:rPr>
                <w:rFonts w:hint="eastAsia" w:ascii="仿宋" w:hAnsi="仿宋" w:eastAsia="仿宋" w:cs="仿宋"/>
                <w:i w:val="0"/>
                <w:iCs w:val="0"/>
                <w:color w:val="000000"/>
                <w:sz w:val="21"/>
                <w:szCs w:val="21"/>
                <w:u w:val="none"/>
              </w:rPr>
            </w:pPr>
          </w:p>
        </w:tc>
        <w:tc>
          <w:tcPr>
            <w:tcW w:w="450" w:type="dxa"/>
            <w:tcBorders>
              <w:top w:val="single" w:color="auto" w:sz="4" w:space="0"/>
              <w:left w:val="single" w:color="auto" w:sz="4" w:space="0"/>
              <w:bottom w:val="single" w:color="auto" w:sz="4" w:space="0"/>
              <w:right w:val="single" w:color="000000" w:sz="4" w:space="0"/>
            </w:tcBorders>
            <w:shd w:val="clear" w:color="auto" w:fill="FFFFFF"/>
            <w:noWrap w:val="0"/>
            <w:vAlign w:val="center"/>
          </w:tcPr>
          <w:p w14:paraId="1F49989A">
            <w:pPr>
              <w:snapToGrid w:val="0"/>
              <w:jc w:val="center"/>
              <w:rPr>
                <w:rFonts w:hint="eastAsia" w:ascii="仿宋" w:hAnsi="仿宋" w:eastAsia="仿宋" w:cs="仿宋"/>
                <w:b/>
                <w:bCs/>
                <w:i w:val="0"/>
                <w:iCs w:val="0"/>
                <w:color w:val="000000"/>
                <w:sz w:val="21"/>
                <w:szCs w:val="21"/>
                <w:u w:val="none"/>
                <w:lang w:val="en-US" w:eastAsia="zh-CN"/>
              </w:rPr>
            </w:pPr>
            <w:r>
              <w:rPr>
                <w:rFonts w:hint="eastAsia" w:ascii="仿宋" w:hAnsi="仿宋" w:eastAsia="仿宋" w:cs="仿宋"/>
                <w:b/>
                <w:bCs/>
                <w:i w:val="0"/>
                <w:iCs w:val="0"/>
                <w:color w:val="000000"/>
                <w:sz w:val="21"/>
                <w:szCs w:val="21"/>
                <w:u w:val="none"/>
                <w:lang w:val="en-US" w:eastAsia="zh-CN"/>
              </w:rPr>
              <w:t>12</w:t>
            </w:r>
          </w:p>
        </w:tc>
        <w:tc>
          <w:tcPr>
            <w:tcW w:w="6897" w:type="dxa"/>
            <w:tcBorders>
              <w:top w:val="single" w:color="000000" w:sz="4" w:space="0"/>
              <w:left w:val="single" w:color="000000" w:sz="4" w:space="0"/>
              <w:bottom w:val="single" w:color="auto" w:sz="4" w:space="0"/>
              <w:right w:val="single" w:color="000000" w:sz="4" w:space="0"/>
            </w:tcBorders>
            <w:shd w:val="clear" w:color="auto" w:fill="FFFFFF"/>
            <w:noWrap w:val="0"/>
            <w:vAlign w:val="center"/>
          </w:tcPr>
          <w:p w14:paraId="0609EC4F">
            <w:pPr>
              <w:keepNext w:val="0"/>
              <w:keepLines w:val="0"/>
              <w:widowControl/>
              <w:suppressLineNumbers w:val="0"/>
              <w:snapToGrid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强化人才核心。拟定购买服务岗位17人，持证率大于70%。机构需建立系统化的招聘、培训、督导及晋升机制，通过各种形式提升社工理论水平与实务能力，确保团队专业化与稳定性，保障员工福利待遇，打造一支“留得住、干得好、懂专业、有情怀”的团队。</w:t>
            </w:r>
          </w:p>
        </w:tc>
        <w:tc>
          <w:tcPr>
            <w:tcW w:w="5101"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AD19172">
            <w:pPr>
              <w:keepNext w:val="0"/>
              <w:keepLines w:val="0"/>
              <w:widowControl/>
              <w:suppressLineNumbers w:val="0"/>
              <w:snapToGrid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相关人员资质、培训证书、培训照片等。</w:t>
            </w:r>
          </w:p>
        </w:tc>
      </w:tr>
      <w:tr w14:paraId="3731F7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1026" w:hRule="atLeast"/>
          <w:jc w:val="center"/>
        </w:trPr>
        <w:tc>
          <w:tcPr>
            <w:tcW w:w="468" w:type="dxa"/>
            <w:vMerge w:val="continue"/>
            <w:tcBorders>
              <w:top w:val="single" w:color="auto" w:sz="4" w:space="0"/>
              <w:left w:val="single" w:color="000000" w:sz="4" w:space="0"/>
              <w:bottom w:val="single" w:color="auto" w:sz="4" w:space="0"/>
              <w:right w:val="single" w:color="000000" w:sz="4" w:space="0"/>
            </w:tcBorders>
            <w:shd w:val="clear" w:color="auto" w:fill="FFFFFF"/>
            <w:noWrap/>
            <w:vAlign w:val="center"/>
          </w:tcPr>
          <w:p w14:paraId="22B23663">
            <w:pPr>
              <w:snapToGrid w:val="0"/>
              <w:jc w:val="center"/>
              <w:rPr>
                <w:rFonts w:hint="eastAsia" w:ascii="仿宋" w:hAnsi="仿宋" w:eastAsia="仿宋" w:cs="仿宋"/>
                <w:b/>
                <w:bCs/>
                <w:i w:val="0"/>
                <w:iCs w:val="0"/>
                <w:color w:val="000000"/>
                <w:sz w:val="21"/>
                <w:szCs w:val="21"/>
                <w:u w:val="none"/>
              </w:rPr>
            </w:pPr>
          </w:p>
        </w:tc>
        <w:tc>
          <w:tcPr>
            <w:tcW w:w="2064" w:type="dxa"/>
            <w:vMerge w:val="continue"/>
            <w:tcBorders>
              <w:left w:val="single" w:color="000000" w:sz="4" w:space="0"/>
              <w:right w:val="single" w:color="auto" w:sz="4" w:space="0"/>
            </w:tcBorders>
            <w:shd w:val="clear" w:color="auto" w:fill="FFFFFF"/>
            <w:noWrap w:val="0"/>
            <w:vAlign w:val="center"/>
          </w:tcPr>
          <w:p w14:paraId="5F5888ED">
            <w:pPr>
              <w:snapToGrid w:val="0"/>
              <w:jc w:val="left"/>
              <w:rPr>
                <w:rFonts w:hint="eastAsia" w:ascii="仿宋" w:hAnsi="仿宋" w:eastAsia="仿宋" w:cs="仿宋"/>
                <w:i w:val="0"/>
                <w:iCs w:val="0"/>
                <w:color w:val="000000"/>
                <w:sz w:val="21"/>
                <w:szCs w:val="21"/>
                <w:u w:val="none"/>
              </w:rPr>
            </w:pPr>
          </w:p>
        </w:tc>
        <w:tc>
          <w:tcPr>
            <w:tcW w:w="450" w:type="dxa"/>
            <w:tcBorders>
              <w:top w:val="single" w:color="auto" w:sz="4" w:space="0"/>
              <w:left w:val="single" w:color="auto" w:sz="4" w:space="0"/>
              <w:bottom w:val="single" w:color="auto" w:sz="4" w:space="0"/>
              <w:right w:val="single" w:color="000000" w:sz="4" w:space="0"/>
            </w:tcBorders>
            <w:shd w:val="clear" w:color="auto" w:fill="FFFFFF"/>
            <w:noWrap w:val="0"/>
            <w:vAlign w:val="center"/>
          </w:tcPr>
          <w:p w14:paraId="27BAD058">
            <w:pPr>
              <w:snapToGrid w:val="0"/>
              <w:jc w:val="center"/>
              <w:rPr>
                <w:rFonts w:hint="eastAsia" w:ascii="仿宋" w:hAnsi="仿宋" w:eastAsia="仿宋" w:cs="仿宋"/>
                <w:b/>
                <w:bCs/>
                <w:i w:val="0"/>
                <w:iCs w:val="0"/>
                <w:color w:val="000000"/>
                <w:sz w:val="21"/>
                <w:szCs w:val="21"/>
                <w:u w:val="none"/>
                <w:lang w:val="en-US" w:eastAsia="zh-CN"/>
              </w:rPr>
            </w:pPr>
            <w:r>
              <w:rPr>
                <w:rFonts w:hint="eastAsia" w:ascii="仿宋" w:hAnsi="仿宋" w:eastAsia="仿宋" w:cs="仿宋"/>
                <w:b/>
                <w:bCs/>
                <w:i w:val="0"/>
                <w:iCs w:val="0"/>
                <w:color w:val="000000"/>
                <w:sz w:val="21"/>
                <w:szCs w:val="21"/>
                <w:u w:val="none"/>
                <w:lang w:val="en-US" w:eastAsia="zh-CN"/>
              </w:rPr>
              <w:t>13</w:t>
            </w:r>
          </w:p>
        </w:tc>
        <w:tc>
          <w:tcPr>
            <w:tcW w:w="6897" w:type="dxa"/>
            <w:tcBorders>
              <w:top w:val="single" w:color="auto" w:sz="4" w:space="0"/>
              <w:left w:val="single" w:color="000000" w:sz="4" w:space="0"/>
              <w:bottom w:val="single" w:color="auto" w:sz="4" w:space="0"/>
              <w:right w:val="single" w:color="000000" w:sz="4" w:space="0"/>
            </w:tcBorders>
            <w:shd w:val="clear" w:color="auto" w:fill="FFFFFF"/>
            <w:noWrap w:val="0"/>
            <w:vAlign w:val="center"/>
          </w:tcPr>
          <w:p w14:paraId="4726EABE">
            <w:pPr>
              <w:keepNext w:val="0"/>
              <w:keepLines w:val="0"/>
              <w:widowControl/>
              <w:suppressLineNumbers w:val="0"/>
              <w:snapToGrid w:val="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个案工作。配合相关部门，严格按照接案、预估、计划、介入、评估与结案流程对服务对象开展个案服务，服务期内开展个案不少于15例，每例平均服务次数不少于5次，形成典型案例3个。</w:t>
            </w:r>
          </w:p>
        </w:tc>
        <w:tc>
          <w:tcPr>
            <w:tcW w:w="5101"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510E33B">
            <w:pPr>
              <w:keepNext w:val="0"/>
              <w:keepLines w:val="0"/>
              <w:widowControl/>
              <w:suppressLineNumbers w:val="0"/>
              <w:snapToGrid w:val="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相关服务记录，需体现个案通用过程及专业性。</w:t>
            </w:r>
          </w:p>
        </w:tc>
      </w:tr>
      <w:tr w14:paraId="322E50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622" w:hRule="atLeast"/>
          <w:jc w:val="center"/>
        </w:trPr>
        <w:tc>
          <w:tcPr>
            <w:tcW w:w="468" w:type="dxa"/>
            <w:vMerge w:val="continue"/>
            <w:tcBorders>
              <w:top w:val="single" w:color="auto" w:sz="4" w:space="0"/>
              <w:left w:val="single" w:color="000000" w:sz="4" w:space="0"/>
              <w:bottom w:val="single" w:color="auto" w:sz="4" w:space="0"/>
              <w:right w:val="single" w:color="000000" w:sz="4" w:space="0"/>
            </w:tcBorders>
            <w:shd w:val="clear" w:color="auto" w:fill="FFFFFF"/>
            <w:noWrap/>
            <w:vAlign w:val="center"/>
          </w:tcPr>
          <w:p w14:paraId="2E7C3290">
            <w:pPr>
              <w:snapToGrid w:val="0"/>
              <w:jc w:val="center"/>
              <w:rPr>
                <w:rFonts w:hint="eastAsia" w:ascii="仿宋" w:hAnsi="仿宋" w:eastAsia="仿宋" w:cs="仿宋"/>
                <w:b/>
                <w:bCs/>
                <w:i w:val="0"/>
                <w:iCs w:val="0"/>
                <w:color w:val="000000"/>
                <w:sz w:val="21"/>
                <w:szCs w:val="21"/>
                <w:u w:val="none"/>
              </w:rPr>
            </w:pPr>
          </w:p>
        </w:tc>
        <w:tc>
          <w:tcPr>
            <w:tcW w:w="2064" w:type="dxa"/>
            <w:vMerge w:val="continue"/>
            <w:tcBorders>
              <w:left w:val="single" w:color="000000" w:sz="4" w:space="0"/>
              <w:right w:val="single" w:color="auto" w:sz="4" w:space="0"/>
            </w:tcBorders>
            <w:shd w:val="clear" w:color="auto" w:fill="FFFFFF"/>
            <w:noWrap w:val="0"/>
            <w:vAlign w:val="center"/>
          </w:tcPr>
          <w:p w14:paraId="2BB5F6C1">
            <w:pPr>
              <w:snapToGrid w:val="0"/>
              <w:jc w:val="left"/>
              <w:rPr>
                <w:rFonts w:hint="eastAsia" w:ascii="仿宋" w:hAnsi="仿宋" w:eastAsia="仿宋" w:cs="仿宋"/>
                <w:i w:val="0"/>
                <w:iCs w:val="0"/>
                <w:color w:val="000000"/>
                <w:sz w:val="21"/>
                <w:szCs w:val="21"/>
                <w:u w:val="none"/>
              </w:rPr>
            </w:pPr>
          </w:p>
        </w:tc>
        <w:tc>
          <w:tcPr>
            <w:tcW w:w="450" w:type="dxa"/>
            <w:tcBorders>
              <w:top w:val="single" w:color="auto" w:sz="4" w:space="0"/>
              <w:left w:val="single" w:color="auto" w:sz="4" w:space="0"/>
              <w:bottom w:val="single" w:color="auto" w:sz="4" w:space="0"/>
              <w:right w:val="single" w:color="000000" w:sz="4" w:space="0"/>
            </w:tcBorders>
            <w:shd w:val="clear" w:color="auto" w:fill="FFFFFF"/>
            <w:noWrap w:val="0"/>
            <w:vAlign w:val="center"/>
          </w:tcPr>
          <w:p w14:paraId="6DC7DCA6">
            <w:pPr>
              <w:snapToGrid w:val="0"/>
              <w:jc w:val="center"/>
              <w:rPr>
                <w:rFonts w:hint="eastAsia" w:ascii="仿宋" w:hAnsi="仿宋" w:eastAsia="仿宋" w:cs="仿宋"/>
                <w:b/>
                <w:bCs/>
                <w:i w:val="0"/>
                <w:iCs w:val="0"/>
                <w:color w:val="000000"/>
                <w:sz w:val="21"/>
                <w:szCs w:val="21"/>
                <w:u w:val="none"/>
                <w:lang w:val="en-US" w:eastAsia="zh-CN"/>
              </w:rPr>
            </w:pPr>
            <w:r>
              <w:rPr>
                <w:rFonts w:hint="eastAsia" w:ascii="仿宋" w:hAnsi="仿宋" w:eastAsia="仿宋" w:cs="仿宋"/>
                <w:b/>
                <w:bCs/>
                <w:i w:val="0"/>
                <w:iCs w:val="0"/>
                <w:color w:val="000000"/>
                <w:sz w:val="21"/>
                <w:szCs w:val="21"/>
                <w:u w:val="none"/>
                <w:lang w:val="en-US" w:eastAsia="zh-CN"/>
              </w:rPr>
              <w:t>14</w:t>
            </w:r>
          </w:p>
        </w:tc>
        <w:tc>
          <w:tcPr>
            <w:tcW w:w="6897" w:type="dxa"/>
            <w:tcBorders>
              <w:top w:val="single" w:color="auto" w:sz="4" w:space="0"/>
              <w:left w:val="single" w:color="000000" w:sz="4" w:space="0"/>
              <w:bottom w:val="single" w:color="auto" w:sz="4" w:space="0"/>
              <w:right w:val="single" w:color="000000" w:sz="4" w:space="0"/>
            </w:tcBorders>
            <w:shd w:val="clear" w:color="auto" w:fill="FFFFFF"/>
            <w:noWrap w:val="0"/>
            <w:vAlign w:val="center"/>
          </w:tcPr>
          <w:p w14:paraId="7A657402">
            <w:pPr>
              <w:keepNext w:val="0"/>
              <w:keepLines w:val="0"/>
              <w:widowControl/>
              <w:suppressLineNumbers w:val="0"/>
              <w:snapToGrid w:val="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 xml:space="preserve">开展小组活动。根据未成年人成长需要，开展符合儿童需求的小组活动，促进儿童融入社会，每年不少于1个。 </w:t>
            </w:r>
          </w:p>
        </w:tc>
        <w:tc>
          <w:tcPr>
            <w:tcW w:w="5101"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85F09B2">
            <w:pPr>
              <w:keepNext w:val="0"/>
              <w:keepLines w:val="0"/>
              <w:widowControl/>
              <w:suppressLineNumbers w:val="0"/>
              <w:snapToGrid w:val="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相关材料应体现小组工作专业性及完整过程。</w:t>
            </w:r>
          </w:p>
        </w:tc>
      </w:tr>
      <w:tr w14:paraId="3E81A9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90" w:hRule="atLeast"/>
          <w:jc w:val="center"/>
        </w:trPr>
        <w:tc>
          <w:tcPr>
            <w:tcW w:w="468" w:type="dxa"/>
            <w:vMerge w:val="continue"/>
            <w:tcBorders>
              <w:top w:val="single" w:color="auto" w:sz="4" w:space="0"/>
              <w:left w:val="single" w:color="000000" w:sz="4" w:space="0"/>
              <w:bottom w:val="single" w:color="auto" w:sz="4" w:space="0"/>
              <w:right w:val="single" w:color="000000" w:sz="4" w:space="0"/>
            </w:tcBorders>
            <w:shd w:val="clear" w:color="auto" w:fill="FFFFFF"/>
            <w:noWrap/>
            <w:vAlign w:val="center"/>
          </w:tcPr>
          <w:p w14:paraId="59A9DBA6">
            <w:pPr>
              <w:snapToGrid w:val="0"/>
              <w:jc w:val="center"/>
              <w:rPr>
                <w:rFonts w:hint="eastAsia" w:ascii="仿宋" w:hAnsi="仿宋" w:eastAsia="仿宋" w:cs="仿宋"/>
                <w:b/>
                <w:bCs/>
                <w:i w:val="0"/>
                <w:iCs w:val="0"/>
                <w:color w:val="000000"/>
                <w:sz w:val="21"/>
                <w:szCs w:val="21"/>
                <w:u w:val="none"/>
              </w:rPr>
            </w:pPr>
          </w:p>
        </w:tc>
        <w:tc>
          <w:tcPr>
            <w:tcW w:w="2064" w:type="dxa"/>
            <w:vMerge w:val="continue"/>
            <w:tcBorders>
              <w:left w:val="single" w:color="000000" w:sz="4" w:space="0"/>
              <w:right w:val="single" w:color="auto" w:sz="4" w:space="0"/>
            </w:tcBorders>
            <w:shd w:val="clear" w:color="auto" w:fill="FFFFFF"/>
            <w:noWrap w:val="0"/>
            <w:vAlign w:val="center"/>
          </w:tcPr>
          <w:p w14:paraId="0C05EC25">
            <w:pPr>
              <w:snapToGrid w:val="0"/>
              <w:jc w:val="left"/>
              <w:rPr>
                <w:rFonts w:hint="eastAsia" w:ascii="仿宋" w:hAnsi="仿宋" w:eastAsia="仿宋" w:cs="仿宋"/>
                <w:i w:val="0"/>
                <w:iCs w:val="0"/>
                <w:color w:val="000000"/>
                <w:sz w:val="21"/>
                <w:szCs w:val="21"/>
                <w:u w:val="none"/>
              </w:rPr>
            </w:pPr>
          </w:p>
        </w:tc>
        <w:tc>
          <w:tcPr>
            <w:tcW w:w="450" w:type="dxa"/>
            <w:tcBorders>
              <w:top w:val="single" w:color="auto" w:sz="4" w:space="0"/>
              <w:left w:val="single" w:color="auto" w:sz="4" w:space="0"/>
              <w:bottom w:val="single" w:color="auto" w:sz="4" w:space="0"/>
              <w:right w:val="single" w:color="000000" w:sz="4" w:space="0"/>
            </w:tcBorders>
            <w:shd w:val="clear" w:color="auto" w:fill="FFFFFF"/>
            <w:noWrap w:val="0"/>
            <w:vAlign w:val="center"/>
          </w:tcPr>
          <w:p w14:paraId="1E8AEDA2">
            <w:pPr>
              <w:snapToGrid w:val="0"/>
              <w:jc w:val="center"/>
              <w:rPr>
                <w:rFonts w:hint="eastAsia" w:ascii="仿宋" w:hAnsi="仿宋" w:eastAsia="仿宋" w:cs="仿宋"/>
                <w:b/>
                <w:bCs/>
                <w:i w:val="0"/>
                <w:iCs w:val="0"/>
                <w:color w:val="000000"/>
                <w:sz w:val="21"/>
                <w:szCs w:val="21"/>
                <w:u w:val="none"/>
                <w:lang w:val="en-US" w:eastAsia="zh-CN"/>
              </w:rPr>
            </w:pPr>
            <w:r>
              <w:rPr>
                <w:rFonts w:hint="eastAsia" w:ascii="仿宋" w:hAnsi="仿宋" w:eastAsia="仿宋" w:cs="仿宋"/>
                <w:b/>
                <w:bCs/>
                <w:i w:val="0"/>
                <w:iCs w:val="0"/>
                <w:color w:val="000000"/>
                <w:sz w:val="21"/>
                <w:szCs w:val="21"/>
                <w:u w:val="none"/>
                <w:lang w:val="en-US" w:eastAsia="zh-CN"/>
              </w:rPr>
              <w:t>15</w:t>
            </w:r>
          </w:p>
        </w:tc>
        <w:tc>
          <w:tcPr>
            <w:tcW w:w="6897" w:type="dxa"/>
            <w:tcBorders>
              <w:top w:val="single" w:color="auto" w:sz="4" w:space="0"/>
              <w:left w:val="single" w:color="000000" w:sz="4" w:space="0"/>
              <w:bottom w:val="single" w:color="000000" w:sz="4" w:space="0"/>
              <w:right w:val="single" w:color="000000" w:sz="4" w:space="0"/>
            </w:tcBorders>
            <w:shd w:val="clear" w:color="auto" w:fill="FFFFFF"/>
            <w:noWrap w:val="0"/>
            <w:vAlign w:val="center"/>
          </w:tcPr>
          <w:p w14:paraId="6C417760">
            <w:pPr>
              <w:keepNext w:val="0"/>
              <w:keepLines w:val="0"/>
              <w:widowControl/>
              <w:suppressLineNumbers w:val="0"/>
              <w:snapToGrid w:val="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建立支持系统。积极发展具备法律、心理、教育等专业能力的志愿者，招募相关专业的实习生，链接相关爱心企业和爱心人士等。为有需求的服务对象提供物质援助，以及专业支持等服务。志愿服务活动不少于20次/年。</w:t>
            </w:r>
          </w:p>
        </w:tc>
        <w:tc>
          <w:tcPr>
            <w:tcW w:w="5101"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BF7C79A">
            <w:pPr>
              <w:keepNext w:val="0"/>
              <w:keepLines w:val="0"/>
              <w:widowControl/>
              <w:suppressLineNumbers w:val="0"/>
              <w:snapToGrid w:val="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志愿者登记表、实习生登记表、服务记录表、活动照片记录等。</w:t>
            </w:r>
          </w:p>
        </w:tc>
      </w:tr>
      <w:tr w14:paraId="5626EA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702" w:hRule="atLeast"/>
          <w:jc w:val="center"/>
        </w:trPr>
        <w:tc>
          <w:tcPr>
            <w:tcW w:w="468" w:type="dxa"/>
            <w:vMerge w:val="continue"/>
            <w:tcBorders>
              <w:top w:val="single" w:color="auto" w:sz="4" w:space="0"/>
              <w:left w:val="single" w:color="000000" w:sz="4" w:space="0"/>
              <w:bottom w:val="single" w:color="auto" w:sz="4" w:space="0"/>
              <w:right w:val="single" w:color="000000" w:sz="4" w:space="0"/>
            </w:tcBorders>
            <w:shd w:val="clear" w:color="auto" w:fill="FFFFFF"/>
            <w:noWrap/>
            <w:vAlign w:val="center"/>
          </w:tcPr>
          <w:p w14:paraId="6E4D27D0">
            <w:pPr>
              <w:snapToGrid w:val="0"/>
              <w:jc w:val="center"/>
              <w:rPr>
                <w:rFonts w:hint="eastAsia" w:ascii="仿宋" w:hAnsi="仿宋" w:eastAsia="仿宋" w:cs="仿宋"/>
                <w:b/>
                <w:bCs/>
                <w:i w:val="0"/>
                <w:iCs w:val="0"/>
                <w:color w:val="000000"/>
                <w:sz w:val="21"/>
                <w:szCs w:val="21"/>
                <w:u w:val="none"/>
              </w:rPr>
            </w:pPr>
          </w:p>
        </w:tc>
        <w:tc>
          <w:tcPr>
            <w:tcW w:w="2064" w:type="dxa"/>
            <w:vMerge w:val="continue"/>
            <w:tcBorders>
              <w:left w:val="single" w:color="000000" w:sz="4" w:space="0"/>
              <w:bottom w:val="single" w:color="auto" w:sz="4" w:space="0"/>
              <w:right w:val="single" w:color="auto" w:sz="4" w:space="0"/>
            </w:tcBorders>
            <w:shd w:val="clear" w:color="auto" w:fill="FFFFFF"/>
            <w:noWrap w:val="0"/>
            <w:vAlign w:val="center"/>
          </w:tcPr>
          <w:p w14:paraId="5308AD91">
            <w:pPr>
              <w:snapToGrid w:val="0"/>
              <w:jc w:val="left"/>
              <w:rPr>
                <w:rFonts w:hint="eastAsia" w:ascii="仿宋" w:hAnsi="仿宋" w:eastAsia="仿宋" w:cs="仿宋"/>
                <w:i w:val="0"/>
                <w:iCs w:val="0"/>
                <w:color w:val="000000"/>
                <w:sz w:val="21"/>
                <w:szCs w:val="21"/>
                <w:u w:val="none"/>
              </w:rPr>
            </w:pPr>
          </w:p>
        </w:tc>
        <w:tc>
          <w:tcPr>
            <w:tcW w:w="450" w:type="dxa"/>
            <w:tcBorders>
              <w:top w:val="single" w:color="auto" w:sz="4" w:space="0"/>
              <w:left w:val="single" w:color="auto" w:sz="4" w:space="0"/>
              <w:bottom w:val="single" w:color="000000" w:sz="4" w:space="0"/>
              <w:right w:val="single" w:color="000000" w:sz="4" w:space="0"/>
            </w:tcBorders>
            <w:shd w:val="clear" w:color="auto" w:fill="FFFFFF"/>
            <w:noWrap w:val="0"/>
            <w:vAlign w:val="center"/>
          </w:tcPr>
          <w:p w14:paraId="2E82A001">
            <w:pPr>
              <w:snapToGrid w:val="0"/>
              <w:jc w:val="center"/>
              <w:rPr>
                <w:rFonts w:hint="eastAsia" w:ascii="仿宋" w:hAnsi="仿宋" w:eastAsia="仿宋" w:cs="仿宋"/>
                <w:b/>
                <w:bCs/>
                <w:i w:val="0"/>
                <w:iCs w:val="0"/>
                <w:color w:val="000000"/>
                <w:sz w:val="21"/>
                <w:szCs w:val="21"/>
                <w:u w:val="none"/>
                <w:lang w:val="en-US" w:eastAsia="zh-CN"/>
              </w:rPr>
            </w:pPr>
            <w:r>
              <w:rPr>
                <w:rFonts w:hint="eastAsia" w:ascii="仿宋" w:hAnsi="仿宋" w:eastAsia="仿宋" w:cs="仿宋"/>
                <w:b/>
                <w:bCs/>
                <w:i w:val="0"/>
                <w:iCs w:val="0"/>
                <w:color w:val="000000"/>
                <w:sz w:val="21"/>
                <w:szCs w:val="21"/>
                <w:u w:val="none"/>
                <w:lang w:val="en-US" w:eastAsia="zh-CN"/>
              </w:rPr>
              <w:t>16</w:t>
            </w:r>
          </w:p>
        </w:tc>
        <w:tc>
          <w:tcPr>
            <w:tcW w:w="68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72FA11">
            <w:pPr>
              <w:keepNext w:val="0"/>
              <w:keepLines w:val="0"/>
              <w:widowControl/>
              <w:suppressLineNumbers w:val="0"/>
              <w:snapToGrid w:val="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构建社区支持网络。通过在社区开展各类课程及活动，与儿童所在社区共同走访等形式，了解儿童情况及具体需求，为后期服务提供依据。</w:t>
            </w:r>
          </w:p>
        </w:tc>
        <w:tc>
          <w:tcPr>
            <w:tcW w:w="5101"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B4E95BD">
            <w:pPr>
              <w:keepNext w:val="0"/>
              <w:keepLines w:val="0"/>
              <w:widowControl/>
              <w:suppressLineNumbers w:val="0"/>
              <w:snapToGrid w:val="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在社区开展各类活动的资料、与社区工作人员共同入户的记录等。</w:t>
            </w:r>
          </w:p>
        </w:tc>
      </w:tr>
      <w:tr w14:paraId="53F421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622" w:hRule="atLeast"/>
          <w:jc w:val="center"/>
        </w:trPr>
        <w:tc>
          <w:tcPr>
            <w:tcW w:w="468" w:type="dxa"/>
            <w:vMerge w:val="restart"/>
            <w:tcBorders>
              <w:top w:val="single" w:color="auto" w:sz="4" w:space="0"/>
              <w:left w:val="single" w:color="000000" w:sz="4" w:space="0"/>
              <w:bottom w:val="single" w:color="auto" w:sz="4" w:space="0"/>
              <w:right w:val="single" w:color="000000" w:sz="4" w:space="0"/>
            </w:tcBorders>
            <w:shd w:val="clear" w:color="auto" w:fill="auto"/>
            <w:noWrap/>
            <w:vAlign w:val="center"/>
          </w:tcPr>
          <w:p w14:paraId="575954C7">
            <w:pPr>
              <w:keepNext w:val="0"/>
              <w:keepLines w:val="0"/>
              <w:widowControl/>
              <w:suppressLineNumbers w:val="0"/>
              <w:snapToGrid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4</w:t>
            </w:r>
          </w:p>
        </w:tc>
        <w:tc>
          <w:tcPr>
            <w:tcW w:w="2064" w:type="dxa"/>
            <w:vMerge w:val="restart"/>
            <w:tcBorders>
              <w:top w:val="single" w:color="auto" w:sz="4" w:space="0"/>
              <w:left w:val="single" w:color="000000" w:sz="4" w:space="0"/>
              <w:bottom w:val="single" w:color="auto" w:sz="4" w:space="0"/>
              <w:right w:val="single" w:color="auto" w:sz="4" w:space="0"/>
            </w:tcBorders>
            <w:shd w:val="clear" w:color="auto" w:fill="auto"/>
            <w:noWrap w:val="0"/>
            <w:vAlign w:val="center"/>
          </w:tcPr>
          <w:p w14:paraId="39BF74E2">
            <w:pPr>
              <w:keepNext w:val="0"/>
              <w:keepLines w:val="0"/>
              <w:widowControl/>
              <w:suppressLineNumbers w:val="0"/>
              <w:snapToGrid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打造区域品牌。深度与地域文化、资源和实际需求相结合，开展具有地域特色的儿童关爱品牌服务。</w:t>
            </w:r>
          </w:p>
        </w:tc>
        <w:tc>
          <w:tcPr>
            <w:tcW w:w="450" w:type="dxa"/>
            <w:tcBorders>
              <w:top w:val="single" w:color="000000" w:sz="4" w:space="0"/>
              <w:left w:val="single" w:color="auto" w:sz="4" w:space="0"/>
              <w:bottom w:val="single" w:color="auto" w:sz="4" w:space="0"/>
              <w:right w:val="single" w:color="000000" w:sz="4" w:space="0"/>
            </w:tcBorders>
            <w:shd w:val="clear" w:color="auto" w:fill="auto"/>
            <w:noWrap w:val="0"/>
            <w:vAlign w:val="center"/>
          </w:tcPr>
          <w:p w14:paraId="76D14EED">
            <w:pPr>
              <w:keepNext w:val="0"/>
              <w:keepLines w:val="0"/>
              <w:widowControl/>
              <w:suppressLineNumbers w:val="0"/>
              <w:snapToGrid w:val="0"/>
              <w:jc w:val="center"/>
              <w:textAlignment w:val="center"/>
              <w:rPr>
                <w:rFonts w:hint="eastAsia" w:ascii="仿宋" w:hAnsi="仿宋" w:eastAsia="仿宋" w:cs="仿宋"/>
                <w:b/>
                <w:bCs/>
                <w:i w:val="0"/>
                <w:iCs w:val="0"/>
                <w:color w:val="000000"/>
                <w:kern w:val="0"/>
                <w:sz w:val="21"/>
                <w:szCs w:val="21"/>
                <w:u w:val="none"/>
                <w:lang w:val="en-US" w:eastAsia="zh-CN" w:bidi="ar"/>
              </w:rPr>
            </w:pPr>
            <w:r>
              <w:rPr>
                <w:rFonts w:hint="eastAsia" w:ascii="仿宋" w:hAnsi="仿宋" w:eastAsia="仿宋" w:cs="仿宋"/>
                <w:b/>
                <w:bCs/>
                <w:i w:val="0"/>
                <w:iCs w:val="0"/>
                <w:color w:val="000000"/>
                <w:kern w:val="0"/>
                <w:sz w:val="21"/>
                <w:szCs w:val="21"/>
                <w:u w:val="none"/>
                <w:lang w:val="en-US" w:eastAsia="zh-CN" w:bidi="ar"/>
              </w:rPr>
              <w:t>17</w:t>
            </w:r>
          </w:p>
        </w:tc>
        <w:tc>
          <w:tcPr>
            <w:tcW w:w="68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D5801">
            <w:pPr>
              <w:keepNext w:val="0"/>
              <w:keepLines w:val="0"/>
              <w:widowControl/>
              <w:suppressLineNumbers w:val="0"/>
              <w:snapToGrid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资源链接。充分体现社会组织链接资源能力，发挥公益平台及行业领先优势，积极引进社会力量，整合相关资源，扩大未成年人保护力量。</w:t>
            </w:r>
          </w:p>
        </w:tc>
        <w:tc>
          <w:tcPr>
            <w:tcW w:w="5101"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73ED42A">
            <w:pPr>
              <w:keepNext w:val="0"/>
              <w:keepLines w:val="0"/>
              <w:widowControl/>
              <w:suppressLineNumbers w:val="0"/>
              <w:snapToGrid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全年应对本地受助儿童提供不少于价值30万元人民币的公益资源。</w:t>
            </w:r>
          </w:p>
        </w:tc>
      </w:tr>
      <w:tr w14:paraId="3EF053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820" w:hRule="atLeast"/>
          <w:jc w:val="center"/>
        </w:trPr>
        <w:tc>
          <w:tcPr>
            <w:tcW w:w="468" w:type="dxa"/>
            <w:vMerge w:val="continue"/>
            <w:tcBorders>
              <w:top w:val="single" w:color="auto" w:sz="4" w:space="0"/>
              <w:left w:val="single" w:color="000000" w:sz="4" w:space="0"/>
              <w:bottom w:val="single" w:color="auto" w:sz="4" w:space="0"/>
              <w:right w:val="single" w:color="000000" w:sz="4" w:space="0"/>
            </w:tcBorders>
            <w:noWrap/>
            <w:vAlign w:val="center"/>
          </w:tcPr>
          <w:p w14:paraId="2033DC14">
            <w:pPr>
              <w:snapToGrid w:val="0"/>
              <w:jc w:val="center"/>
              <w:rPr>
                <w:rFonts w:hint="eastAsia" w:ascii="仿宋" w:hAnsi="仿宋" w:eastAsia="仿宋" w:cs="仿宋"/>
                <w:b/>
                <w:bCs/>
                <w:i w:val="0"/>
                <w:iCs w:val="0"/>
                <w:color w:val="000000"/>
                <w:sz w:val="21"/>
                <w:szCs w:val="21"/>
                <w:u w:val="none"/>
              </w:rPr>
            </w:pPr>
          </w:p>
        </w:tc>
        <w:tc>
          <w:tcPr>
            <w:tcW w:w="2064" w:type="dxa"/>
            <w:vMerge w:val="continue"/>
            <w:tcBorders>
              <w:top w:val="single" w:color="auto" w:sz="4" w:space="0"/>
              <w:left w:val="single" w:color="000000" w:sz="4" w:space="0"/>
              <w:bottom w:val="single" w:color="auto" w:sz="4" w:space="0"/>
              <w:right w:val="single" w:color="auto" w:sz="4" w:space="0"/>
            </w:tcBorders>
            <w:noWrap w:val="0"/>
            <w:vAlign w:val="center"/>
          </w:tcPr>
          <w:p w14:paraId="692B1B3E">
            <w:pPr>
              <w:snapToGrid w:val="0"/>
              <w:jc w:val="left"/>
              <w:rPr>
                <w:rFonts w:hint="eastAsia" w:ascii="仿宋" w:hAnsi="仿宋" w:eastAsia="仿宋" w:cs="仿宋"/>
                <w:i w:val="0"/>
                <w:iCs w:val="0"/>
                <w:color w:val="000000"/>
                <w:sz w:val="21"/>
                <w:szCs w:val="21"/>
                <w:u w:val="none"/>
              </w:rPr>
            </w:pPr>
          </w:p>
        </w:tc>
        <w:tc>
          <w:tcPr>
            <w:tcW w:w="450" w:type="dxa"/>
            <w:tcBorders>
              <w:top w:val="single" w:color="auto" w:sz="4" w:space="0"/>
              <w:left w:val="single" w:color="auto" w:sz="4" w:space="0"/>
              <w:bottom w:val="single" w:color="auto" w:sz="4" w:space="0"/>
              <w:right w:val="single" w:color="000000" w:sz="4" w:space="0"/>
            </w:tcBorders>
            <w:noWrap w:val="0"/>
            <w:vAlign w:val="center"/>
          </w:tcPr>
          <w:p w14:paraId="466200C6">
            <w:pPr>
              <w:snapToGrid w:val="0"/>
              <w:jc w:val="center"/>
              <w:rPr>
                <w:rFonts w:hint="eastAsia" w:ascii="仿宋" w:hAnsi="仿宋" w:eastAsia="仿宋" w:cs="仿宋"/>
                <w:b/>
                <w:bCs/>
                <w:i w:val="0"/>
                <w:iCs w:val="0"/>
                <w:color w:val="000000"/>
                <w:sz w:val="21"/>
                <w:szCs w:val="21"/>
                <w:u w:val="none"/>
                <w:lang w:val="en-US" w:eastAsia="zh-CN"/>
              </w:rPr>
            </w:pPr>
            <w:r>
              <w:rPr>
                <w:rFonts w:hint="eastAsia" w:ascii="仿宋" w:hAnsi="仿宋" w:eastAsia="仿宋" w:cs="仿宋"/>
                <w:b/>
                <w:bCs/>
                <w:i w:val="0"/>
                <w:iCs w:val="0"/>
                <w:color w:val="000000"/>
                <w:sz w:val="21"/>
                <w:szCs w:val="21"/>
                <w:u w:val="none"/>
                <w:lang w:val="en-US" w:eastAsia="zh-CN"/>
              </w:rPr>
              <w:t>18</w:t>
            </w:r>
          </w:p>
        </w:tc>
        <w:tc>
          <w:tcPr>
            <w:tcW w:w="6897" w:type="dxa"/>
            <w:tcBorders>
              <w:top w:val="single" w:color="000000" w:sz="4" w:space="0"/>
              <w:left w:val="single" w:color="000000" w:sz="4" w:space="0"/>
              <w:bottom w:val="single" w:color="auto" w:sz="4" w:space="0"/>
              <w:right w:val="single" w:color="000000" w:sz="4" w:space="0"/>
            </w:tcBorders>
            <w:noWrap/>
            <w:vAlign w:val="center"/>
          </w:tcPr>
          <w:p w14:paraId="37D7937E">
            <w:pPr>
              <w:keepNext w:val="0"/>
              <w:keepLines w:val="0"/>
              <w:widowControl/>
              <w:suppressLineNumbers w:val="0"/>
              <w:snapToGrid w:val="0"/>
              <w:jc w:val="left"/>
              <w:textAlignment w:val="center"/>
              <w:rPr>
                <w:rFonts w:hint="eastAsia" w:ascii="仿宋" w:hAnsi="仿宋" w:eastAsia="仿宋" w:cs="仿宋"/>
                <w:i w:val="0"/>
                <w:iCs w:val="0"/>
                <w:color w:val="000000"/>
                <w:sz w:val="21"/>
                <w:szCs w:val="21"/>
                <w:u w:val="none"/>
                <w:lang w:val="en-US"/>
              </w:rPr>
            </w:pPr>
            <w:r>
              <w:rPr>
                <w:rFonts w:hint="eastAsia" w:ascii="仿宋" w:hAnsi="仿宋" w:eastAsia="仿宋" w:cs="仿宋"/>
                <w:i w:val="0"/>
                <w:iCs w:val="0"/>
                <w:color w:val="000000"/>
                <w:kern w:val="0"/>
                <w:sz w:val="21"/>
                <w:szCs w:val="21"/>
                <w:u w:val="none"/>
                <w:lang w:val="en-US" w:eastAsia="zh-CN" w:bidi="ar"/>
              </w:rPr>
              <w:t>协同关爱。链接本地政府部门、群团组织、爱心企业，组织未成年人开展各类活动，引导未成年人以身体力行的方式强信念、启智慧、增技能、养品格。活动不少于8次/年。</w:t>
            </w:r>
          </w:p>
        </w:tc>
        <w:tc>
          <w:tcPr>
            <w:tcW w:w="5101" w:type="dxa"/>
            <w:tcBorders>
              <w:top w:val="single" w:color="000000" w:sz="4" w:space="0"/>
              <w:left w:val="single" w:color="000000" w:sz="4" w:space="0"/>
              <w:bottom w:val="single" w:color="000000" w:sz="4" w:space="0"/>
              <w:right w:val="single" w:color="000000" w:sz="4" w:space="0"/>
            </w:tcBorders>
            <w:noWrap/>
            <w:vAlign w:val="center"/>
          </w:tcPr>
          <w:p w14:paraId="589765A3">
            <w:pPr>
              <w:keepNext w:val="0"/>
              <w:keepLines w:val="0"/>
              <w:widowControl/>
              <w:suppressLineNumbers w:val="0"/>
              <w:snapToGrid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活动方案、签到、照片、相关报道等。</w:t>
            </w:r>
          </w:p>
        </w:tc>
      </w:tr>
      <w:tr w14:paraId="38C92D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1024" w:hRule="atLeast"/>
          <w:jc w:val="center"/>
        </w:trPr>
        <w:tc>
          <w:tcPr>
            <w:tcW w:w="468" w:type="dxa"/>
            <w:vMerge w:val="continue"/>
            <w:tcBorders>
              <w:top w:val="single" w:color="auto" w:sz="4" w:space="0"/>
              <w:left w:val="single" w:color="000000" w:sz="4" w:space="0"/>
              <w:bottom w:val="single" w:color="auto" w:sz="4" w:space="0"/>
              <w:right w:val="single" w:color="000000" w:sz="4" w:space="0"/>
            </w:tcBorders>
            <w:noWrap/>
            <w:vAlign w:val="center"/>
          </w:tcPr>
          <w:p w14:paraId="750F412E">
            <w:pPr>
              <w:snapToGrid w:val="0"/>
              <w:jc w:val="center"/>
              <w:rPr>
                <w:rFonts w:hint="eastAsia" w:ascii="仿宋" w:hAnsi="仿宋" w:eastAsia="仿宋" w:cs="仿宋"/>
                <w:b/>
                <w:bCs/>
                <w:i w:val="0"/>
                <w:iCs w:val="0"/>
                <w:color w:val="000000"/>
                <w:sz w:val="21"/>
                <w:szCs w:val="21"/>
                <w:u w:val="none"/>
              </w:rPr>
            </w:pPr>
          </w:p>
        </w:tc>
        <w:tc>
          <w:tcPr>
            <w:tcW w:w="2064" w:type="dxa"/>
            <w:vMerge w:val="continue"/>
            <w:tcBorders>
              <w:top w:val="single" w:color="auto" w:sz="4" w:space="0"/>
              <w:left w:val="single" w:color="000000" w:sz="4" w:space="0"/>
              <w:bottom w:val="single" w:color="auto" w:sz="4" w:space="0"/>
              <w:right w:val="single" w:color="auto" w:sz="4" w:space="0"/>
            </w:tcBorders>
            <w:noWrap w:val="0"/>
            <w:vAlign w:val="center"/>
          </w:tcPr>
          <w:p w14:paraId="7C8E17C7">
            <w:pPr>
              <w:snapToGrid w:val="0"/>
              <w:jc w:val="left"/>
              <w:rPr>
                <w:rFonts w:hint="eastAsia" w:ascii="仿宋" w:hAnsi="仿宋" w:eastAsia="仿宋" w:cs="仿宋"/>
                <w:i w:val="0"/>
                <w:iCs w:val="0"/>
                <w:color w:val="000000"/>
                <w:sz w:val="21"/>
                <w:szCs w:val="21"/>
                <w:u w:val="none"/>
              </w:rPr>
            </w:pPr>
          </w:p>
        </w:tc>
        <w:tc>
          <w:tcPr>
            <w:tcW w:w="450" w:type="dxa"/>
            <w:tcBorders>
              <w:top w:val="single" w:color="auto" w:sz="4" w:space="0"/>
              <w:left w:val="single" w:color="auto" w:sz="4" w:space="0"/>
              <w:bottom w:val="single" w:color="auto" w:sz="4" w:space="0"/>
              <w:right w:val="single" w:color="000000" w:sz="4" w:space="0"/>
            </w:tcBorders>
            <w:noWrap w:val="0"/>
            <w:vAlign w:val="center"/>
          </w:tcPr>
          <w:p w14:paraId="059DC6FD">
            <w:pPr>
              <w:snapToGrid w:val="0"/>
              <w:jc w:val="center"/>
              <w:rPr>
                <w:rFonts w:hint="eastAsia" w:ascii="仿宋" w:hAnsi="仿宋" w:eastAsia="仿宋" w:cs="仿宋"/>
                <w:b/>
                <w:bCs/>
                <w:i w:val="0"/>
                <w:iCs w:val="0"/>
                <w:color w:val="000000"/>
                <w:sz w:val="21"/>
                <w:szCs w:val="21"/>
                <w:u w:val="none"/>
                <w:lang w:val="en-US" w:eastAsia="zh-CN"/>
              </w:rPr>
            </w:pPr>
            <w:r>
              <w:rPr>
                <w:rFonts w:hint="eastAsia" w:ascii="仿宋" w:hAnsi="仿宋" w:eastAsia="仿宋" w:cs="仿宋"/>
                <w:b/>
                <w:bCs/>
                <w:i w:val="0"/>
                <w:iCs w:val="0"/>
                <w:color w:val="000000"/>
                <w:sz w:val="21"/>
                <w:szCs w:val="21"/>
                <w:u w:val="none"/>
                <w:lang w:val="en-US" w:eastAsia="zh-CN"/>
              </w:rPr>
              <w:t>19</w:t>
            </w:r>
          </w:p>
        </w:tc>
        <w:tc>
          <w:tcPr>
            <w:tcW w:w="6897" w:type="dxa"/>
            <w:tcBorders>
              <w:top w:val="single" w:color="auto" w:sz="4" w:space="0"/>
              <w:left w:val="single" w:color="000000" w:sz="4" w:space="0"/>
              <w:bottom w:val="single" w:color="auto" w:sz="4" w:space="0"/>
              <w:right w:val="single" w:color="000000" w:sz="4" w:space="0"/>
            </w:tcBorders>
            <w:noWrap/>
            <w:vAlign w:val="center"/>
          </w:tcPr>
          <w:p w14:paraId="370E2097">
            <w:pPr>
              <w:keepNext w:val="0"/>
              <w:keepLines w:val="0"/>
              <w:widowControl/>
              <w:suppressLineNumbers w:val="0"/>
              <w:snapToGrid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未保宣传：通过在今日头条、抖音、微博、微信等网络媒体发布工作动态，电视台、广播电台、报纸、杂志等传统媒体投放稿件，制作小视频、编辑小故事，多方位多角度地宣传未成年人保护工作，要求在未成年人保护中心及以上平台成功发布不少于 60 篇信息推送。</w:t>
            </w:r>
          </w:p>
        </w:tc>
        <w:tc>
          <w:tcPr>
            <w:tcW w:w="5101" w:type="dxa"/>
            <w:tcBorders>
              <w:top w:val="single" w:color="000000" w:sz="4" w:space="0"/>
              <w:left w:val="single" w:color="000000" w:sz="4" w:space="0"/>
              <w:bottom w:val="single" w:color="000000" w:sz="4" w:space="0"/>
              <w:right w:val="single" w:color="000000" w:sz="4" w:space="0"/>
            </w:tcBorders>
            <w:noWrap/>
            <w:vAlign w:val="center"/>
          </w:tcPr>
          <w:p w14:paraId="6A9B6DFA">
            <w:pPr>
              <w:keepNext w:val="0"/>
              <w:keepLines w:val="0"/>
              <w:widowControl/>
              <w:suppressLineNumbers w:val="0"/>
              <w:snapToGrid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媒体报道链接、截图等。</w:t>
            </w:r>
          </w:p>
        </w:tc>
      </w:tr>
      <w:tr w14:paraId="16C869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1172" w:hRule="atLeast"/>
          <w:jc w:val="center"/>
        </w:trPr>
        <w:tc>
          <w:tcPr>
            <w:tcW w:w="468" w:type="dxa"/>
            <w:vMerge w:val="continue"/>
            <w:tcBorders>
              <w:top w:val="single" w:color="auto" w:sz="4" w:space="0"/>
              <w:left w:val="single" w:color="000000" w:sz="4" w:space="0"/>
              <w:bottom w:val="single" w:color="auto" w:sz="4" w:space="0"/>
              <w:right w:val="single" w:color="000000" w:sz="4" w:space="0"/>
            </w:tcBorders>
            <w:noWrap/>
            <w:vAlign w:val="center"/>
          </w:tcPr>
          <w:p w14:paraId="55275481">
            <w:pPr>
              <w:snapToGrid w:val="0"/>
              <w:jc w:val="center"/>
              <w:rPr>
                <w:rFonts w:hint="eastAsia" w:ascii="仿宋" w:hAnsi="仿宋" w:eastAsia="仿宋" w:cs="仿宋"/>
                <w:b/>
                <w:bCs/>
                <w:i w:val="0"/>
                <w:iCs w:val="0"/>
                <w:color w:val="000000"/>
                <w:sz w:val="21"/>
                <w:szCs w:val="21"/>
                <w:u w:val="none"/>
              </w:rPr>
            </w:pPr>
          </w:p>
        </w:tc>
        <w:tc>
          <w:tcPr>
            <w:tcW w:w="2064" w:type="dxa"/>
            <w:vMerge w:val="continue"/>
            <w:tcBorders>
              <w:top w:val="single" w:color="auto" w:sz="4" w:space="0"/>
              <w:left w:val="single" w:color="000000" w:sz="4" w:space="0"/>
              <w:bottom w:val="single" w:color="auto" w:sz="4" w:space="0"/>
              <w:right w:val="single" w:color="auto" w:sz="4" w:space="0"/>
            </w:tcBorders>
            <w:noWrap w:val="0"/>
            <w:vAlign w:val="center"/>
          </w:tcPr>
          <w:p w14:paraId="4CBB801B">
            <w:pPr>
              <w:snapToGrid w:val="0"/>
              <w:jc w:val="left"/>
              <w:rPr>
                <w:rFonts w:hint="eastAsia" w:ascii="仿宋" w:hAnsi="仿宋" w:eastAsia="仿宋" w:cs="仿宋"/>
                <w:i w:val="0"/>
                <w:iCs w:val="0"/>
                <w:color w:val="000000"/>
                <w:sz w:val="21"/>
                <w:szCs w:val="21"/>
                <w:u w:val="none"/>
              </w:rPr>
            </w:pPr>
          </w:p>
        </w:tc>
        <w:tc>
          <w:tcPr>
            <w:tcW w:w="450" w:type="dxa"/>
            <w:tcBorders>
              <w:top w:val="single" w:color="auto" w:sz="4" w:space="0"/>
              <w:left w:val="single" w:color="auto" w:sz="4" w:space="0"/>
              <w:bottom w:val="single" w:color="000000" w:sz="4" w:space="0"/>
              <w:right w:val="single" w:color="000000" w:sz="4" w:space="0"/>
            </w:tcBorders>
            <w:noWrap w:val="0"/>
            <w:vAlign w:val="center"/>
          </w:tcPr>
          <w:p w14:paraId="52D668CB">
            <w:pPr>
              <w:snapToGrid w:val="0"/>
              <w:jc w:val="center"/>
              <w:rPr>
                <w:rFonts w:hint="eastAsia" w:ascii="仿宋" w:hAnsi="仿宋" w:eastAsia="仿宋" w:cs="仿宋"/>
                <w:b/>
                <w:bCs/>
                <w:i w:val="0"/>
                <w:iCs w:val="0"/>
                <w:color w:val="000000"/>
                <w:sz w:val="21"/>
                <w:szCs w:val="21"/>
                <w:u w:val="none"/>
                <w:lang w:val="en-US" w:eastAsia="zh-CN"/>
              </w:rPr>
            </w:pPr>
            <w:r>
              <w:rPr>
                <w:rFonts w:hint="eastAsia" w:ascii="仿宋" w:hAnsi="仿宋" w:eastAsia="仿宋" w:cs="仿宋"/>
                <w:b/>
                <w:bCs/>
                <w:i w:val="0"/>
                <w:iCs w:val="0"/>
                <w:color w:val="000000"/>
                <w:sz w:val="21"/>
                <w:szCs w:val="21"/>
                <w:u w:val="none"/>
                <w:lang w:val="en-US" w:eastAsia="zh-CN"/>
              </w:rPr>
              <w:t>20</w:t>
            </w:r>
          </w:p>
        </w:tc>
        <w:tc>
          <w:tcPr>
            <w:tcW w:w="6897" w:type="dxa"/>
            <w:tcBorders>
              <w:top w:val="single" w:color="auto" w:sz="4" w:space="0"/>
              <w:left w:val="single" w:color="000000" w:sz="4" w:space="0"/>
              <w:bottom w:val="single" w:color="000000" w:sz="4" w:space="0"/>
              <w:right w:val="single" w:color="000000" w:sz="4" w:space="0"/>
            </w:tcBorders>
            <w:noWrap/>
            <w:vAlign w:val="center"/>
          </w:tcPr>
          <w:p w14:paraId="70712A39">
            <w:pPr>
              <w:keepNext w:val="0"/>
              <w:keepLines w:val="0"/>
              <w:widowControl/>
              <w:suppressLineNumbers w:val="0"/>
              <w:snapToGrid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政策宣讲：对儿童父母或者其他监护人开展政策宣讲及亲子沟通专题培训，教授父母或者其他监护人掌握亲子沟通的方式方法，加强亲情关爱。培训和指导辖区儿童督导员/儿童主任提升业务素质、提高关爱服务技能，引导父母或其他监护人强化监护主体责任意识、依法履行监护职责和抚养义务。集中宣讲不少于8次/年。</w:t>
            </w:r>
          </w:p>
        </w:tc>
        <w:tc>
          <w:tcPr>
            <w:tcW w:w="5101" w:type="dxa"/>
            <w:tcBorders>
              <w:top w:val="single" w:color="000000" w:sz="4" w:space="0"/>
              <w:left w:val="single" w:color="000000" w:sz="4" w:space="0"/>
              <w:bottom w:val="single" w:color="000000" w:sz="4" w:space="0"/>
              <w:right w:val="single" w:color="000000" w:sz="4" w:space="0"/>
            </w:tcBorders>
            <w:noWrap/>
            <w:vAlign w:val="center"/>
          </w:tcPr>
          <w:p w14:paraId="5250BEE8">
            <w:pPr>
              <w:keepNext w:val="0"/>
              <w:keepLines w:val="0"/>
              <w:widowControl/>
              <w:suppressLineNumbers w:val="0"/>
              <w:snapToGrid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课件，签到，照片，相关报道等。</w:t>
            </w:r>
          </w:p>
        </w:tc>
      </w:tr>
      <w:tr w14:paraId="44C21D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949" w:hRule="atLeast"/>
          <w:jc w:val="center"/>
        </w:trPr>
        <w:tc>
          <w:tcPr>
            <w:tcW w:w="468" w:type="dxa"/>
            <w:vMerge w:val="continue"/>
            <w:tcBorders>
              <w:top w:val="single" w:color="auto" w:sz="4" w:space="0"/>
              <w:left w:val="single" w:color="000000" w:sz="4" w:space="0"/>
              <w:bottom w:val="single" w:color="auto" w:sz="4" w:space="0"/>
              <w:right w:val="single" w:color="000000" w:sz="4" w:space="0"/>
            </w:tcBorders>
            <w:noWrap/>
            <w:vAlign w:val="center"/>
          </w:tcPr>
          <w:p w14:paraId="637D7248">
            <w:pPr>
              <w:snapToGrid w:val="0"/>
              <w:jc w:val="center"/>
              <w:rPr>
                <w:rFonts w:hint="eastAsia" w:ascii="仿宋" w:hAnsi="仿宋" w:eastAsia="仿宋" w:cs="仿宋"/>
                <w:b/>
                <w:bCs/>
                <w:i w:val="0"/>
                <w:iCs w:val="0"/>
                <w:color w:val="000000"/>
                <w:sz w:val="21"/>
                <w:szCs w:val="21"/>
                <w:u w:val="none"/>
              </w:rPr>
            </w:pPr>
          </w:p>
        </w:tc>
        <w:tc>
          <w:tcPr>
            <w:tcW w:w="2064" w:type="dxa"/>
            <w:vMerge w:val="continue"/>
            <w:tcBorders>
              <w:top w:val="single" w:color="auto" w:sz="4" w:space="0"/>
              <w:left w:val="single" w:color="000000" w:sz="4" w:space="0"/>
              <w:bottom w:val="single" w:color="auto" w:sz="4" w:space="0"/>
              <w:right w:val="single" w:color="auto" w:sz="4" w:space="0"/>
            </w:tcBorders>
            <w:noWrap w:val="0"/>
            <w:vAlign w:val="center"/>
          </w:tcPr>
          <w:p w14:paraId="027D02C6">
            <w:pPr>
              <w:snapToGrid w:val="0"/>
              <w:jc w:val="left"/>
              <w:rPr>
                <w:rFonts w:hint="eastAsia" w:ascii="仿宋" w:hAnsi="仿宋" w:eastAsia="仿宋" w:cs="仿宋"/>
                <w:i w:val="0"/>
                <w:iCs w:val="0"/>
                <w:color w:val="000000"/>
                <w:sz w:val="21"/>
                <w:szCs w:val="21"/>
                <w:u w:val="none"/>
              </w:rPr>
            </w:pPr>
          </w:p>
        </w:tc>
        <w:tc>
          <w:tcPr>
            <w:tcW w:w="450" w:type="dxa"/>
            <w:tcBorders>
              <w:top w:val="single" w:color="000000" w:sz="4" w:space="0"/>
              <w:left w:val="single" w:color="auto" w:sz="4" w:space="0"/>
              <w:bottom w:val="single" w:color="auto" w:sz="4" w:space="0"/>
              <w:right w:val="single" w:color="000000" w:sz="4" w:space="0"/>
            </w:tcBorders>
            <w:noWrap w:val="0"/>
            <w:vAlign w:val="center"/>
          </w:tcPr>
          <w:p w14:paraId="6BEB0DE6">
            <w:pPr>
              <w:snapToGrid w:val="0"/>
              <w:jc w:val="center"/>
              <w:rPr>
                <w:rFonts w:hint="eastAsia" w:ascii="仿宋" w:hAnsi="仿宋" w:eastAsia="仿宋" w:cs="仿宋"/>
                <w:b/>
                <w:bCs/>
                <w:i w:val="0"/>
                <w:iCs w:val="0"/>
                <w:color w:val="000000"/>
                <w:sz w:val="21"/>
                <w:szCs w:val="21"/>
                <w:u w:val="none"/>
                <w:lang w:val="en-US" w:eastAsia="zh-CN"/>
              </w:rPr>
            </w:pPr>
            <w:r>
              <w:rPr>
                <w:rFonts w:hint="eastAsia" w:ascii="仿宋" w:hAnsi="仿宋" w:eastAsia="仿宋" w:cs="仿宋"/>
                <w:b/>
                <w:bCs/>
                <w:i w:val="0"/>
                <w:iCs w:val="0"/>
                <w:color w:val="000000"/>
                <w:sz w:val="21"/>
                <w:szCs w:val="21"/>
                <w:u w:val="none"/>
                <w:lang w:val="en-US" w:eastAsia="zh-CN"/>
              </w:rPr>
              <w:t>21</w:t>
            </w:r>
          </w:p>
        </w:tc>
        <w:tc>
          <w:tcPr>
            <w:tcW w:w="6897" w:type="dxa"/>
            <w:tcBorders>
              <w:top w:val="single" w:color="000000" w:sz="4" w:space="0"/>
              <w:left w:val="single" w:color="000000" w:sz="4" w:space="0"/>
              <w:bottom w:val="single" w:color="auto" w:sz="4" w:space="0"/>
              <w:right w:val="single" w:color="000000" w:sz="4" w:space="0"/>
            </w:tcBorders>
            <w:noWrap/>
            <w:vAlign w:val="center"/>
          </w:tcPr>
          <w:p w14:paraId="6D19B3E0">
            <w:pPr>
              <w:keepNext w:val="0"/>
              <w:keepLines w:val="0"/>
              <w:widowControl/>
              <w:suppressLineNumbers w:val="0"/>
              <w:snapToGrid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特色课程：设计儿童安全自护专题课程，教育引导儿童增强自我保护意识，学习自我保护技能，提高自我判断危险能力；进村（居），进学校，进家庭，营造氛围，注重实效，提升儿童关爱服务水平。引导广大留守儿童和困境儿童提高自我保护意识、提升自我保护能力。课程不少于8次/年。</w:t>
            </w:r>
          </w:p>
        </w:tc>
        <w:tc>
          <w:tcPr>
            <w:tcW w:w="5101" w:type="dxa"/>
            <w:tcBorders>
              <w:top w:val="single" w:color="000000" w:sz="4" w:space="0"/>
              <w:left w:val="single" w:color="000000" w:sz="4" w:space="0"/>
              <w:bottom w:val="single" w:color="000000" w:sz="4" w:space="0"/>
              <w:right w:val="single" w:color="000000" w:sz="4" w:space="0"/>
            </w:tcBorders>
            <w:noWrap/>
            <w:vAlign w:val="center"/>
          </w:tcPr>
          <w:p w14:paraId="4BACFBB7">
            <w:pPr>
              <w:keepNext w:val="0"/>
              <w:keepLines w:val="0"/>
              <w:widowControl/>
              <w:suppressLineNumbers w:val="0"/>
              <w:snapToGrid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课件，课程签到，照片，相关报道等。</w:t>
            </w:r>
          </w:p>
        </w:tc>
      </w:tr>
      <w:tr w14:paraId="4B4E9A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474" w:hRule="atLeast"/>
          <w:jc w:val="center"/>
        </w:trPr>
        <w:tc>
          <w:tcPr>
            <w:tcW w:w="468" w:type="dxa"/>
            <w:vMerge w:val="restart"/>
            <w:tcBorders>
              <w:top w:val="single" w:color="auto" w:sz="4" w:space="0"/>
              <w:left w:val="single" w:color="000000" w:sz="4" w:space="0"/>
              <w:bottom w:val="single" w:color="auto" w:sz="4" w:space="0"/>
              <w:right w:val="single" w:color="000000" w:sz="4" w:space="0"/>
            </w:tcBorders>
            <w:noWrap/>
            <w:vAlign w:val="center"/>
          </w:tcPr>
          <w:p w14:paraId="5B78B561">
            <w:pPr>
              <w:keepNext w:val="0"/>
              <w:keepLines w:val="0"/>
              <w:widowControl/>
              <w:suppressLineNumbers w:val="0"/>
              <w:snapToGrid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5</w:t>
            </w:r>
          </w:p>
        </w:tc>
        <w:tc>
          <w:tcPr>
            <w:tcW w:w="2064" w:type="dxa"/>
            <w:vMerge w:val="restart"/>
            <w:tcBorders>
              <w:top w:val="single" w:color="auto" w:sz="4" w:space="0"/>
              <w:left w:val="single" w:color="000000" w:sz="4" w:space="0"/>
              <w:bottom w:val="single" w:color="auto" w:sz="4" w:space="0"/>
              <w:right w:val="single" w:color="auto" w:sz="4" w:space="0"/>
            </w:tcBorders>
            <w:noWrap w:val="0"/>
            <w:vAlign w:val="center"/>
          </w:tcPr>
          <w:p w14:paraId="26B40D25">
            <w:pPr>
              <w:keepNext w:val="0"/>
              <w:keepLines w:val="0"/>
              <w:widowControl/>
              <w:suppressLineNumbers w:val="0"/>
              <w:snapToGrid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其他事项。完成上级领导交办的其他 工作定期总结工作经验，提升服务影响力和示范性。</w:t>
            </w:r>
          </w:p>
        </w:tc>
        <w:tc>
          <w:tcPr>
            <w:tcW w:w="450" w:type="dxa"/>
            <w:tcBorders>
              <w:top w:val="single" w:color="auto" w:sz="4" w:space="0"/>
              <w:left w:val="single" w:color="auto" w:sz="4" w:space="0"/>
              <w:bottom w:val="single" w:color="auto" w:sz="4" w:space="0"/>
              <w:right w:val="single" w:color="000000" w:sz="4" w:space="0"/>
            </w:tcBorders>
            <w:noWrap w:val="0"/>
            <w:vAlign w:val="center"/>
          </w:tcPr>
          <w:p w14:paraId="6D2125CC">
            <w:pPr>
              <w:keepNext w:val="0"/>
              <w:keepLines w:val="0"/>
              <w:widowControl/>
              <w:suppressLineNumbers w:val="0"/>
              <w:snapToGrid w:val="0"/>
              <w:jc w:val="center"/>
              <w:textAlignment w:val="center"/>
              <w:rPr>
                <w:rFonts w:hint="eastAsia" w:ascii="仿宋" w:hAnsi="仿宋" w:eastAsia="仿宋" w:cs="仿宋"/>
                <w:b/>
                <w:bCs/>
                <w:i w:val="0"/>
                <w:iCs w:val="0"/>
                <w:color w:val="000000"/>
                <w:kern w:val="0"/>
                <w:sz w:val="21"/>
                <w:szCs w:val="21"/>
                <w:u w:val="none"/>
                <w:lang w:val="en-US" w:eastAsia="zh-CN" w:bidi="ar"/>
              </w:rPr>
            </w:pPr>
            <w:r>
              <w:rPr>
                <w:rFonts w:hint="eastAsia" w:ascii="仿宋" w:hAnsi="仿宋" w:eastAsia="仿宋" w:cs="仿宋"/>
                <w:b/>
                <w:bCs/>
                <w:i w:val="0"/>
                <w:iCs w:val="0"/>
                <w:color w:val="000000"/>
                <w:kern w:val="0"/>
                <w:sz w:val="21"/>
                <w:szCs w:val="21"/>
                <w:u w:val="none"/>
                <w:lang w:val="en-US" w:eastAsia="zh-CN" w:bidi="ar"/>
              </w:rPr>
              <w:t>22</w:t>
            </w:r>
          </w:p>
        </w:tc>
        <w:tc>
          <w:tcPr>
            <w:tcW w:w="6897" w:type="dxa"/>
            <w:tcBorders>
              <w:top w:val="single" w:color="auto" w:sz="4" w:space="0"/>
              <w:left w:val="single" w:color="000000" w:sz="4" w:space="0"/>
              <w:bottom w:val="single" w:color="auto" w:sz="4" w:space="0"/>
              <w:right w:val="single" w:color="000000" w:sz="4" w:space="0"/>
            </w:tcBorders>
            <w:noWrap w:val="0"/>
            <w:vAlign w:val="center"/>
          </w:tcPr>
          <w:p w14:paraId="4ABE0AB6">
            <w:pPr>
              <w:keepNext w:val="0"/>
              <w:keepLines w:val="0"/>
              <w:widowControl/>
              <w:suppressLineNumbers w:val="0"/>
              <w:snapToGrid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总结计划：对工作及时进行总结，并根据工作进度及工作要求制定工作计划。</w:t>
            </w:r>
          </w:p>
        </w:tc>
        <w:tc>
          <w:tcPr>
            <w:tcW w:w="5101" w:type="dxa"/>
            <w:tcBorders>
              <w:top w:val="single" w:color="000000" w:sz="4" w:space="0"/>
              <w:left w:val="single" w:color="000000" w:sz="4" w:space="0"/>
              <w:bottom w:val="single" w:color="000000" w:sz="4" w:space="0"/>
              <w:right w:val="single" w:color="000000" w:sz="4" w:space="0"/>
            </w:tcBorders>
            <w:noWrap/>
            <w:vAlign w:val="center"/>
          </w:tcPr>
          <w:p w14:paraId="03D16F6D">
            <w:pPr>
              <w:keepNext w:val="0"/>
              <w:keepLines w:val="0"/>
              <w:widowControl/>
              <w:suppressLineNumbers w:val="0"/>
              <w:snapToGrid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年、月、周工作总结，计划。</w:t>
            </w:r>
          </w:p>
        </w:tc>
      </w:tr>
      <w:tr w14:paraId="040E80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820" w:hRule="atLeast"/>
          <w:jc w:val="center"/>
        </w:trPr>
        <w:tc>
          <w:tcPr>
            <w:tcW w:w="468" w:type="dxa"/>
            <w:vMerge w:val="continue"/>
            <w:tcBorders>
              <w:top w:val="single" w:color="auto" w:sz="4" w:space="0"/>
              <w:left w:val="single" w:color="000000" w:sz="4" w:space="0"/>
              <w:bottom w:val="single" w:color="auto" w:sz="4" w:space="0"/>
              <w:right w:val="single" w:color="000000" w:sz="4" w:space="0"/>
            </w:tcBorders>
            <w:noWrap/>
            <w:vAlign w:val="center"/>
          </w:tcPr>
          <w:p w14:paraId="44774DF3">
            <w:pPr>
              <w:snapToGrid w:val="0"/>
              <w:jc w:val="center"/>
              <w:rPr>
                <w:rFonts w:hint="eastAsia" w:ascii="仿宋" w:hAnsi="仿宋" w:eastAsia="仿宋" w:cs="仿宋"/>
                <w:b/>
                <w:bCs/>
                <w:i w:val="0"/>
                <w:iCs w:val="0"/>
                <w:color w:val="000000"/>
                <w:sz w:val="21"/>
                <w:szCs w:val="21"/>
                <w:u w:val="none"/>
              </w:rPr>
            </w:pPr>
          </w:p>
        </w:tc>
        <w:tc>
          <w:tcPr>
            <w:tcW w:w="2064" w:type="dxa"/>
            <w:vMerge w:val="continue"/>
            <w:tcBorders>
              <w:top w:val="single" w:color="auto" w:sz="4" w:space="0"/>
              <w:left w:val="single" w:color="000000" w:sz="4" w:space="0"/>
              <w:bottom w:val="single" w:color="auto" w:sz="4" w:space="0"/>
              <w:right w:val="single" w:color="auto" w:sz="4" w:space="0"/>
            </w:tcBorders>
            <w:noWrap w:val="0"/>
            <w:vAlign w:val="center"/>
          </w:tcPr>
          <w:p w14:paraId="09785FA0">
            <w:pPr>
              <w:snapToGrid w:val="0"/>
              <w:jc w:val="left"/>
              <w:rPr>
                <w:rFonts w:hint="eastAsia" w:ascii="仿宋" w:hAnsi="仿宋" w:eastAsia="仿宋" w:cs="仿宋"/>
                <w:i w:val="0"/>
                <w:iCs w:val="0"/>
                <w:color w:val="000000"/>
                <w:sz w:val="21"/>
                <w:szCs w:val="21"/>
                <w:u w:val="none"/>
              </w:rPr>
            </w:pPr>
          </w:p>
        </w:tc>
        <w:tc>
          <w:tcPr>
            <w:tcW w:w="450" w:type="dxa"/>
            <w:tcBorders>
              <w:top w:val="single" w:color="auto" w:sz="4" w:space="0"/>
              <w:left w:val="single" w:color="auto" w:sz="4" w:space="0"/>
              <w:bottom w:val="single" w:color="000000" w:sz="4" w:space="0"/>
              <w:right w:val="single" w:color="000000" w:sz="4" w:space="0"/>
            </w:tcBorders>
            <w:noWrap w:val="0"/>
            <w:vAlign w:val="center"/>
          </w:tcPr>
          <w:p w14:paraId="3AF23A0D">
            <w:pPr>
              <w:snapToGrid w:val="0"/>
              <w:jc w:val="center"/>
              <w:rPr>
                <w:rFonts w:hint="eastAsia" w:ascii="仿宋" w:hAnsi="仿宋" w:eastAsia="仿宋" w:cs="仿宋"/>
                <w:b/>
                <w:bCs/>
                <w:i w:val="0"/>
                <w:iCs w:val="0"/>
                <w:color w:val="000000"/>
                <w:sz w:val="21"/>
                <w:szCs w:val="21"/>
                <w:u w:val="none"/>
                <w:lang w:val="en-US" w:eastAsia="zh-CN"/>
              </w:rPr>
            </w:pPr>
            <w:r>
              <w:rPr>
                <w:rFonts w:hint="eastAsia" w:ascii="仿宋" w:hAnsi="仿宋" w:eastAsia="仿宋" w:cs="仿宋"/>
                <w:b/>
                <w:bCs/>
                <w:i w:val="0"/>
                <w:iCs w:val="0"/>
                <w:color w:val="000000"/>
                <w:sz w:val="21"/>
                <w:szCs w:val="21"/>
                <w:u w:val="none"/>
                <w:lang w:val="en-US" w:eastAsia="zh-CN"/>
              </w:rPr>
              <w:t>23</w:t>
            </w:r>
          </w:p>
        </w:tc>
        <w:tc>
          <w:tcPr>
            <w:tcW w:w="6897" w:type="dxa"/>
            <w:tcBorders>
              <w:top w:val="single" w:color="auto" w:sz="4" w:space="0"/>
              <w:left w:val="single" w:color="000000" w:sz="4" w:space="0"/>
              <w:bottom w:val="single" w:color="000000" w:sz="4" w:space="0"/>
              <w:right w:val="single" w:color="000000" w:sz="4" w:space="0"/>
            </w:tcBorders>
            <w:noWrap/>
            <w:vAlign w:val="center"/>
          </w:tcPr>
          <w:p w14:paraId="49AB32F7">
            <w:pPr>
              <w:keepNext w:val="0"/>
              <w:keepLines w:val="0"/>
              <w:widowControl/>
              <w:suppressLineNumbers w:val="0"/>
              <w:snapToGrid w:val="0"/>
              <w:jc w:val="left"/>
              <w:textAlignment w:val="center"/>
              <w:rPr>
                <w:rFonts w:hint="eastAsia" w:ascii="仿宋" w:hAnsi="仿宋" w:eastAsia="仿宋" w:cs="仿宋"/>
                <w:i w:val="0"/>
                <w:iCs w:val="0"/>
                <w:color w:val="000000"/>
                <w:sz w:val="21"/>
                <w:szCs w:val="21"/>
                <w:u w:val="none"/>
              </w:rPr>
            </w:pPr>
            <w:r>
              <w:rPr>
                <w:rStyle w:val="11"/>
                <w:rFonts w:hint="eastAsia" w:ascii="仿宋" w:hAnsi="仿宋" w:eastAsia="仿宋" w:cs="仿宋"/>
                <w:sz w:val="21"/>
                <w:szCs w:val="21"/>
                <w:lang w:val="en-US" w:eastAsia="zh-CN" w:bidi="ar"/>
              </w:rPr>
              <w:t>经验总结：统计分析未成年人相关数据，梳理未成年人保护工作中存在的问题及服务需求，提出应对策略，形成可供参考的总结材料。每季度向市未保中心提交高质量经验总结材</w:t>
            </w:r>
            <w:r>
              <w:rPr>
                <w:rStyle w:val="12"/>
                <w:rFonts w:hint="eastAsia" w:ascii="仿宋" w:hAnsi="仿宋" w:eastAsia="仿宋" w:cs="仿宋"/>
                <w:sz w:val="21"/>
                <w:szCs w:val="21"/>
                <w:lang w:val="en-US" w:eastAsia="zh-CN" w:bidi="ar"/>
              </w:rPr>
              <w:t>料不低于 1 篇。</w:t>
            </w:r>
          </w:p>
        </w:tc>
        <w:tc>
          <w:tcPr>
            <w:tcW w:w="5101" w:type="dxa"/>
            <w:tcBorders>
              <w:top w:val="single" w:color="000000" w:sz="4" w:space="0"/>
              <w:left w:val="single" w:color="000000" w:sz="4" w:space="0"/>
              <w:bottom w:val="single" w:color="000000" w:sz="4" w:space="0"/>
              <w:right w:val="single" w:color="000000" w:sz="4" w:space="0"/>
            </w:tcBorders>
            <w:noWrap/>
            <w:vAlign w:val="center"/>
          </w:tcPr>
          <w:p w14:paraId="33B579B7">
            <w:pPr>
              <w:keepNext w:val="0"/>
              <w:keepLines w:val="0"/>
              <w:widowControl/>
              <w:suppressLineNumbers w:val="0"/>
              <w:snapToGrid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高质量经验总结材料。</w:t>
            </w:r>
          </w:p>
        </w:tc>
      </w:tr>
      <w:tr w14:paraId="107521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00" w:hRule="atLeast"/>
          <w:jc w:val="center"/>
        </w:trPr>
        <w:tc>
          <w:tcPr>
            <w:tcW w:w="468" w:type="dxa"/>
            <w:vMerge w:val="continue"/>
            <w:tcBorders>
              <w:top w:val="single" w:color="auto" w:sz="4" w:space="0"/>
              <w:left w:val="single" w:color="000000" w:sz="4" w:space="0"/>
              <w:bottom w:val="single" w:color="auto" w:sz="4" w:space="0"/>
              <w:right w:val="single" w:color="000000" w:sz="4" w:space="0"/>
            </w:tcBorders>
            <w:noWrap/>
            <w:vAlign w:val="center"/>
          </w:tcPr>
          <w:p w14:paraId="6B5D096E">
            <w:pPr>
              <w:snapToGrid w:val="0"/>
              <w:jc w:val="center"/>
              <w:rPr>
                <w:rFonts w:hint="eastAsia" w:ascii="仿宋" w:hAnsi="仿宋" w:eastAsia="仿宋" w:cs="仿宋"/>
                <w:b/>
                <w:bCs/>
                <w:i w:val="0"/>
                <w:iCs w:val="0"/>
                <w:color w:val="000000"/>
                <w:sz w:val="21"/>
                <w:szCs w:val="21"/>
                <w:u w:val="none"/>
              </w:rPr>
            </w:pPr>
          </w:p>
        </w:tc>
        <w:tc>
          <w:tcPr>
            <w:tcW w:w="2064" w:type="dxa"/>
            <w:vMerge w:val="continue"/>
            <w:tcBorders>
              <w:top w:val="single" w:color="auto" w:sz="4" w:space="0"/>
              <w:left w:val="single" w:color="000000" w:sz="4" w:space="0"/>
              <w:bottom w:val="single" w:color="auto" w:sz="4" w:space="0"/>
              <w:right w:val="single" w:color="auto" w:sz="4" w:space="0"/>
            </w:tcBorders>
            <w:noWrap w:val="0"/>
            <w:vAlign w:val="center"/>
          </w:tcPr>
          <w:p w14:paraId="4D7D7DF9">
            <w:pPr>
              <w:snapToGrid w:val="0"/>
              <w:jc w:val="left"/>
              <w:rPr>
                <w:rFonts w:hint="eastAsia" w:ascii="仿宋" w:hAnsi="仿宋" w:eastAsia="仿宋" w:cs="仿宋"/>
                <w:i w:val="0"/>
                <w:iCs w:val="0"/>
                <w:color w:val="000000"/>
                <w:sz w:val="21"/>
                <w:szCs w:val="21"/>
                <w:u w:val="none"/>
              </w:rPr>
            </w:pPr>
          </w:p>
        </w:tc>
        <w:tc>
          <w:tcPr>
            <w:tcW w:w="450" w:type="dxa"/>
            <w:tcBorders>
              <w:top w:val="single" w:color="000000" w:sz="4" w:space="0"/>
              <w:left w:val="single" w:color="auto" w:sz="4" w:space="0"/>
              <w:right w:val="single" w:color="000000" w:sz="4" w:space="0"/>
            </w:tcBorders>
            <w:noWrap w:val="0"/>
            <w:vAlign w:val="center"/>
          </w:tcPr>
          <w:p w14:paraId="2912AA45">
            <w:pPr>
              <w:snapToGrid w:val="0"/>
              <w:jc w:val="center"/>
              <w:rPr>
                <w:rFonts w:hint="eastAsia" w:ascii="仿宋" w:hAnsi="仿宋" w:eastAsia="仿宋" w:cs="仿宋"/>
                <w:b/>
                <w:bCs/>
                <w:i w:val="0"/>
                <w:iCs w:val="0"/>
                <w:color w:val="000000"/>
                <w:sz w:val="21"/>
                <w:szCs w:val="21"/>
                <w:u w:val="none"/>
                <w:lang w:val="en-US" w:eastAsia="zh-CN"/>
              </w:rPr>
            </w:pPr>
            <w:r>
              <w:rPr>
                <w:rFonts w:hint="eastAsia" w:ascii="仿宋" w:hAnsi="仿宋" w:eastAsia="仿宋" w:cs="仿宋"/>
                <w:b/>
                <w:bCs/>
                <w:i w:val="0"/>
                <w:iCs w:val="0"/>
                <w:color w:val="000000"/>
                <w:sz w:val="21"/>
                <w:szCs w:val="21"/>
                <w:u w:val="none"/>
                <w:lang w:val="en-US" w:eastAsia="zh-CN"/>
              </w:rPr>
              <w:t>24</w:t>
            </w:r>
          </w:p>
        </w:tc>
        <w:tc>
          <w:tcPr>
            <w:tcW w:w="6897" w:type="dxa"/>
            <w:tcBorders>
              <w:top w:val="single" w:color="000000" w:sz="4" w:space="0"/>
              <w:left w:val="single" w:color="000000" w:sz="4" w:space="0"/>
              <w:bottom w:val="single" w:color="000000" w:sz="4" w:space="0"/>
              <w:right w:val="single" w:color="000000" w:sz="4" w:space="0"/>
            </w:tcBorders>
            <w:noWrap/>
            <w:vAlign w:val="center"/>
          </w:tcPr>
          <w:p w14:paraId="09EC13E3">
            <w:pPr>
              <w:keepNext w:val="0"/>
              <w:keepLines w:val="0"/>
              <w:widowControl/>
              <w:suppressLineNumbers w:val="0"/>
              <w:snapToGrid w:val="0"/>
              <w:jc w:val="left"/>
              <w:textAlignment w:val="center"/>
              <w:rPr>
                <w:rFonts w:hint="eastAsia" w:ascii="仿宋" w:hAnsi="仿宋" w:eastAsia="仿宋" w:cs="仿宋"/>
                <w:i w:val="0"/>
                <w:iCs w:val="0"/>
                <w:color w:val="000000"/>
                <w:sz w:val="21"/>
                <w:szCs w:val="21"/>
                <w:u w:val="none"/>
              </w:rPr>
            </w:pPr>
            <w:r>
              <w:rPr>
                <w:rStyle w:val="11"/>
                <w:rFonts w:hint="eastAsia" w:ascii="仿宋" w:hAnsi="仿宋" w:eastAsia="仿宋" w:cs="仿宋"/>
                <w:sz w:val="21"/>
                <w:szCs w:val="21"/>
                <w:lang w:val="en-US" w:eastAsia="zh-CN" w:bidi="ar"/>
              </w:rPr>
              <w:t>档案管理：档案规范，体系清晰、分类管理、</w:t>
            </w:r>
            <w:r>
              <w:rPr>
                <w:rStyle w:val="12"/>
                <w:rFonts w:hint="eastAsia" w:ascii="仿宋" w:hAnsi="仿宋" w:eastAsia="仿宋" w:cs="仿宋"/>
                <w:sz w:val="21"/>
                <w:szCs w:val="21"/>
                <w:lang w:val="en-US" w:eastAsia="zh-CN" w:bidi="ar"/>
              </w:rPr>
              <w:t xml:space="preserve"> 格式统一。按档案管理统一要求进行整理。</w:t>
            </w:r>
          </w:p>
        </w:tc>
        <w:tc>
          <w:tcPr>
            <w:tcW w:w="5101" w:type="dxa"/>
            <w:tcBorders>
              <w:top w:val="single" w:color="000000" w:sz="4" w:space="0"/>
              <w:left w:val="single" w:color="000000" w:sz="4" w:space="0"/>
              <w:bottom w:val="single" w:color="000000" w:sz="4" w:space="0"/>
              <w:right w:val="single" w:color="000000" w:sz="4" w:space="0"/>
            </w:tcBorders>
            <w:noWrap/>
            <w:vAlign w:val="center"/>
          </w:tcPr>
          <w:p w14:paraId="2BA6AB3F">
            <w:pPr>
              <w:keepNext w:val="0"/>
              <w:keepLines w:val="0"/>
              <w:widowControl/>
              <w:suppressLineNumbers w:val="0"/>
              <w:snapToGrid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所涉及的所有档案资料。</w:t>
            </w:r>
          </w:p>
        </w:tc>
      </w:tr>
      <w:tr w14:paraId="3F01D4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57" w:hRule="atLeast"/>
          <w:jc w:val="center"/>
        </w:trPr>
        <w:tc>
          <w:tcPr>
            <w:tcW w:w="468" w:type="dxa"/>
            <w:vMerge w:val="continue"/>
            <w:tcBorders>
              <w:top w:val="single" w:color="auto" w:sz="4" w:space="0"/>
              <w:left w:val="single" w:color="000000" w:sz="4" w:space="0"/>
              <w:bottom w:val="single" w:color="auto" w:sz="4" w:space="0"/>
              <w:right w:val="single" w:color="000000" w:sz="4" w:space="0"/>
            </w:tcBorders>
            <w:noWrap/>
            <w:vAlign w:val="center"/>
          </w:tcPr>
          <w:p w14:paraId="4E7BA350">
            <w:pPr>
              <w:snapToGrid w:val="0"/>
              <w:jc w:val="center"/>
              <w:rPr>
                <w:rFonts w:hint="eastAsia" w:ascii="仿宋" w:hAnsi="仿宋" w:eastAsia="仿宋" w:cs="仿宋"/>
                <w:b/>
                <w:bCs/>
                <w:i w:val="0"/>
                <w:iCs w:val="0"/>
                <w:color w:val="000000"/>
                <w:sz w:val="21"/>
                <w:szCs w:val="21"/>
                <w:u w:val="none"/>
              </w:rPr>
            </w:pPr>
          </w:p>
        </w:tc>
        <w:tc>
          <w:tcPr>
            <w:tcW w:w="2064" w:type="dxa"/>
            <w:vMerge w:val="continue"/>
            <w:tcBorders>
              <w:top w:val="single" w:color="auto" w:sz="4" w:space="0"/>
              <w:left w:val="single" w:color="000000" w:sz="4" w:space="0"/>
              <w:bottom w:val="single" w:color="auto" w:sz="4" w:space="0"/>
              <w:right w:val="single" w:color="auto" w:sz="4" w:space="0"/>
            </w:tcBorders>
            <w:noWrap w:val="0"/>
            <w:vAlign w:val="center"/>
          </w:tcPr>
          <w:p w14:paraId="4A29D17B">
            <w:pPr>
              <w:snapToGrid w:val="0"/>
              <w:jc w:val="left"/>
              <w:rPr>
                <w:rFonts w:hint="eastAsia" w:ascii="仿宋" w:hAnsi="仿宋" w:eastAsia="仿宋" w:cs="仿宋"/>
                <w:i w:val="0"/>
                <w:iCs w:val="0"/>
                <w:color w:val="000000"/>
                <w:sz w:val="21"/>
                <w:szCs w:val="21"/>
                <w:u w:val="none"/>
              </w:rPr>
            </w:pPr>
          </w:p>
        </w:tc>
        <w:tc>
          <w:tcPr>
            <w:tcW w:w="450" w:type="dxa"/>
            <w:tcBorders>
              <w:top w:val="single" w:color="000000" w:sz="4" w:space="0"/>
              <w:left w:val="single" w:color="auto" w:sz="4" w:space="0"/>
              <w:bottom w:val="single" w:color="000000" w:sz="4" w:space="0"/>
              <w:right w:val="single" w:color="000000" w:sz="4" w:space="0"/>
            </w:tcBorders>
            <w:noWrap w:val="0"/>
            <w:vAlign w:val="center"/>
          </w:tcPr>
          <w:p w14:paraId="4DAFE8A1">
            <w:pPr>
              <w:snapToGrid w:val="0"/>
              <w:jc w:val="center"/>
              <w:rPr>
                <w:rFonts w:hint="eastAsia" w:ascii="仿宋" w:hAnsi="仿宋" w:eastAsia="仿宋" w:cs="仿宋"/>
                <w:b/>
                <w:bCs/>
                <w:i w:val="0"/>
                <w:iCs w:val="0"/>
                <w:color w:val="000000"/>
                <w:sz w:val="21"/>
                <w:szCs w:val="21"/>
                <w:u w:val="none"/>
                <w:lang w:val="en-US" w:eastAsia="zh-CN"/>
              </w:rPr>
            </w:pPr>
            <w:r>
              <w:rPr>
                <w:rFonts w:hint="eastAsia" w:ascii="仿宋" w:hAnsi="仿宋" w:eastAsia="仿宋" w:cs="仿宋"/>
                <w:b/>
                <w:bCs/>
                <w:i w:val="0"/>
                <w:iCs w:val="0"/>
                <w:color w:val="000000"/>
                <w:sz w:val="21"/>
                <w:szCs w:val="21"/>
                <w:u w:val="none"/>
                <w:lang w:val="en-US" w:eastAsia="zh-CN"/>
              </w:rPr>
              <w:t>25</w:t>
            </w:r>
          </w:p>
        </w:tc>
        <w:tc>
          <w:tcPr>
            <w:tcW w:w="6897" w:type="dxa"/>
            <w:tcBorders>
              <w:top w:val="single" w:color="000000" w:sz="4" w:space="0"/>
              <w:left w:val="single" w:color="000000" w:sz="4" w:space="0"/>
              <w:bottom w:val="single" w:color="000000" w:sz="4" w:space="0"/>
              <w:right w:val="single" w:color="000000" w:sz="4" w:space="0"/>
            </w:tcBorders>
            <w:noWrap/>
            <w:vAlign w:val="center"/>
          </w:tcPr>
          <w:p w14:paraId="64887746">
            <w:pPr>
              <w:keepNext w:val="0"/>
              <w:keepLines w:val="0"/>
              <w:widowControl/>
              <w:suppressLineNumbers w:val="0"/>
              <w:snapToGrid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交办事项：及时完成上级交办的其他事项。</w:t>
            </w:r>
          </w:p>
        </w:tc>
        <w:tc>
          <w:tcPr>
            <w:tcW w:w="5101" w:type="dxa"/>
            <w:tcBorders>
              <w:top w:val="single" w:color="000000" w:sz="4" w:space="0"/>
              <w:left w:val="single" w:color="000000" w:sz="4" w:space="0"/>
              <w:bottom w:val="single" w:color="000000" w:sz="4" w:space="0"/>
              <w:right w:val="single" w:color="000000" w:sz="4" w:space="0"/>
            </w:tcBorders>
            <w:noWrap/>
            <w:vAlign w:val="center"/>
          </w:tcPr>
          <w:p w14:paraId="4EFEDEB7">
            <w:pPr>
              <w:keepNext w:val="0"/>
              <w:keepLines w:val="0"/>
              <w:widowControl/>
              <w:suppressLineNumbers w:val="0"/>
              <w:snapToGrid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交办工作相关材料。</w:t>
            </w:r>
          </w:p>
        </w:tc>
      </w:tr>
    </w:tbl>
    <w:p w14:paraId="6B98DE38">
      <w:pPr>
        <w:pStyle w:val="3"/>
        <w:keepNext w:val="0"/>
        <w:keepLines w:val="0"/>
        <w:pageBreakBefore w:val="0"/>
        <w:widowControl w:val="0"/>
        <w:kinsoku/>
        <w:overflowPunct/>
        <w:topLinePunct w:val="0"/>
        <w:autoSpaceDE/>
        <w:autoSpaceDN/>
        <w:bidi w:val="0"/>
        <w:adjustRightInd/>
        <w:snapToGrid/>
        <w:spacing w:line="360" w:lineRule="auto"/>
        <w:ind w:left="0" w:leftChars="0" w:firstLine="0" w:firstLineChars="0"/>
        <w:jc w:val="both"/>
        <w:textAlignment w:val="auto"/>
        <w:rPr>
          <w:rFonts w:hint="eastAsia" w:ascii="仿宋_GB2312" w:hAnsi="仿宋_GB2312" w:eastAsia="仿宋_GB2312" w:cs="仿宋_GB2312"/>
          <w:sz w:val="24"/>
          <w:szCs w:val="24"/>
          <w:lang w:val="en-US" w:eastAsia="zh-CN"/>
        </w:rPr>
      </w:pPr>
    </w:p>
    <w:p w14:paraId="10DD9E33">
      <w:pPr>
        <w:tabs>
          <w:tab w:val="left" w:pos="2576"/>
        </w:tabs>
        <w:bidi w:val="0"/>
        <w:jc w:val="left"/>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E3D270">
    <w:pPr>
      <w:spacing w:before="1" w:line="175" w:lineRule="auto"/>
      <w:ind w:left="121"/>
      <w:rPr>
        <w:rFonts w:ascii="宋体" w:hAnsi="宋体" w:eastAsia="宋体" w:cs="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54AA114">
                          <w:pPr>
                            <w:pStyle w:val="5"/>
                            <w:rPr>
                              <w:rFonts w:hint="eastAsia" w:ascii="仿宋" w:hAnsi="仿宋" w:eastAsia="仿宋" w:cs="仿宋"/>
                              <w:sz w:val="30"/>
                              <w:szCs w:val="30"/>
                            </w:rPr>
                          </w:pPr>
                          <w:r>
                            <w:rPr>
                              <w:rFonts w:hint="eastAsia" w:ascii="仿宋" w:hAnsi="仿宋" w:eastAsia="仿宋" w:cs="仿宋"/>
                              <w:sz w:val="18"/>
                              <w:szCs w:val="18"/>
                            </w:rPr>
                            <w:fldChar w:fldCharType="begin"/>
                          </w:r>
                          <w:r>
                            <w:rPr>
                              <w:rFonts w:hint="eastAsia" w:ascii="仿宋" w:hAnsi="仿宋" w:eastAsia="仿宋" w:cs="仿宋"/>
                              <w:sz w:val="18"/>
                              <w:szCs w:val="18"/>
                            </w:rPr>
                            <w:instrText xml:space="preserve"> PAGE  \* MERGEFORMAT </w:instrText>
                          </w:r>
                          <w:r>
                            <w:rPr>
                              <w:rFonts w:hint="eastAsia" w:ascii="仿宋" w:hAnsi="仿宋" w:eastAsia="仿宋" w:cs="仿宋"/>
                              <w:sz w:val="18"/>
                              <w:szCs w:val="18"/>
                            </w:rPr>
                            <w:fldChar w:fldCharType="separate"/>
                          </w:r>
                          <w:r>
                            <w:rPr>
                              <w:rFonts w:hint="eastAsia" w:ascii="仿宋" w:hAnsi="仿宋" w:eastAsia="仿宋" w:cs="仿宋"/>
                              <w:sz w:val="18"/>
                              <w:szCs w:val="18"/>
                            </w:rPr>
                            <w:t>2</w:t>
                          </w:r>
                          <w:r>
                            <w:rPr>
                              <w:rFonts w:hint="eastAsia" w:ascii="仿宋" w:hAnsi="仿宋" w:eastAsia="仿宋" w:cs="仿宋"/>
                              <w:sz w:val="18"/>
                              <w:szCs w:val="1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154AA114">
                    <w:pPr>
                      <w:pStyle w:val="5"/>
                      <w:rPr>
                        <w:rFonts w:hint="eastAsia" w:ascii="仿宋" w:hAnsi="仿宋" w:eastAsia="仿宋" w:cs="仿宋"/>
                        <w:sz w:val="30"/>
                        <w:szCs w:val="30"/>
                      </w:rPr>
                    </w:pPr>
                    <w:r>
                      <w:rPr>
                        <w:rFonts w:hint="eastAsia" w:ascii="仿宋" w:hAnsi="仿宋" w:eastAsia="仿宋" w:cs="仿宋"/>
                        <w:sz w:val="18"/>
                        <w:szCs w:val="18"/>
                      </w:rPr>
                      <w:fldChar w:fldCharType="begin"/>
                    </w:r>
                    <w:r>
                      <w:rPr>
                        <w:rFonts w:hint="eastAsia" w:ascii="仿宋" w:hAnsi="仿宋" w:eastAsia="仿宋" w:cs="仿宋"/>
                        <w:sz w:val="18"/>
                        <w:szCs w:val="18"/>
                      </w:rPr>
                      <w:instrText xml:space="preserve"> PAGE  \* MERGEFORMAT </w:instrText>
                    </w:r>
                    <w:r>
                      <w:rPr>
                        <w:rFonts w:hint="eastAsia" w:ascii="仿宋" w:hAnsi="仿宋" w:eastAsia="仿宋" w:cs="仿宋"/>
                        <w:sz w:val="18"/>
                        <w:szCs w:val="18"/>
                      </w:rPr>
                      <w:fldChar w:fldCharType="separate"/>
                    </w:r>
                    <w:r>
                      <w:rPr>
                        <w:rFonts w:hint="eastAsia" w:ascii="仿宋" w:hAnsi="仿宋" w:eastAsia="仿宋" w:cs="仿宋"/>
                        <w:sz w:val="18"/>
                        <w:szCs w:val="18"/>
                      </w:rPr>
                      <w:t>2</w:t>
                    </w:r>
                    <w:r>
                      <w:rPr>
                        <w:rFonts w:hint="eastAsia" w:ascii="仿宋" w:hAnsi="仿宋" w:eastAsia="仿宋" w:cs="仿宋"/>
                        <w:sz w:val="18"/>
                        <w:szCs w:val="1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F2E9D8"/>
    <w:multiLevelType w:val="singleLevel"/>
    <w:tmpl w:val="F4F2E9D8"/>
    <w:lvl w:ilvl="0" w:tentative="0">
      <w:start w:val="3"/>
      <w:numFmt w:val="decimal"/>
      <w:suff w:val="nothing"/>
      <w:lvlText w:val="%1、"/>
      <w:lvlJc w:val="left"/>
      <w:pPr>
        <w:ind w:left="-1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2E2A23"/>
    <w:rsid w:val="055C330D"/>
    <w:rsid w:val="08E66565"/>
    <w:rsid w:val="0A7F6BD1"/>
    <w:rsid w:val="1CFC7643"/>
    <w:rsid w:val="210A77C6"/>
    <w:rsid w:val="3E0755D2"/>
    <w:rsid w:val="43246E58"/>
    <w:rsid w:val="4B5D6875"/>
    <w:rsid w:val="4BA9183D"/>
    <w:rsid w:val="53620E89"/>
    <w:rsid w:val="559E11CA"/>
    <w:rsid w:val="64A8174B"/>
    <w:rsid w:val="661C2D4F"/>
    <w:rsid w:val="67A92D16"/>
    <w:rsid w:val="76845B39"/>
    <w:rsid w:val="77D543BA"/>
    <w:rsid w:val="7FE65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sz w:val="24"/>
      <w:szCs w:val="24"/>
      <w:lang w:val="en-US" w:eastAsia="zh-CN" w:bidi="ar-SA"/>
    </w:rPr>
  </w:style>
  <w:style w:type="paragraph" w:styleId="2">
    <w:name w:val="heading 4"/>
    <w:basedOn w:val="1"/>
    <w:next w:val="1"/>
    <w:qFormat/>
    <w:uiPriority w:val="0"/>
    <w:pPr>
      <w:keepNext/>
      <w:keepLines/>
      <w:widowControl w:val="0"/>
      <w:spacing w:before="280" w:after="290" w:line="376" w:lineRule="auto"/>
      <w:jc w:val="both"/>
      <w:outlineLvl w:val="3"/>
    </w:pPr>
    <w:rPr>
      <w:rFonts w:ascii="Arial" w:hAnsi="Arial" w:eastAsia="黑体"/>
      <w:b/>
      <w:sz w:val="28"/>
      <w:szCs w:val="21"/>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Body Text"/>
    <w:basedOn w:val="1"/>
    <w:qFormat/>
    <w:uiPriority w:val="0"/>
    <w:pPr>
      <w:widowControl w:val="0"/>
      <w:spacing w:line="360" w:lineRule="auto"/>
      <w:jc w:val="both"/>
    </w:pPr>
    <w:rPr>
      <w:rFonts w:ascii="仿宋_GB2312" w:eastAsia="仿宋_GB2312"/>
      <w:kern w:val="2"/>
      <w:sz w:val="28"/>
      <w:szCs w:val="20"/>
    </w:rPr>
  </w:style>
  <w:style w:type="paragraph" w:styleId="5">
    <w:name w:val="footer"/>
    <w:basedOn w:val="1"/>
    <w:qFormat/>
    <w:uiPriority w:val="99"/>
    <w:pPr>
      <w:widowControl w:val="0"/>
      <w:tabs>
        <w:tab w:val="center" w:pos="4153"/>
        <w:tab w:val="right" w:pos="8306"/>
      </w:tabs>
      <w:adjustRightInd w:val="0"/>
      <w:spacing w:line="240" w:lineRule="atLeast"/>
      <w:textAlignment w:val="baseline"/>
    </w:pPr>
    <w:rPr>
      <w:rFonts w:eastAsia="宋体"/>
      <w:sz w:val="18"/>
      <w:szCs w:val="20"/>
    </w:rPr>
  </w:style>
  <w:style w:type="paragraph" w:styleId="6">
    <w:name w:val="Subtitle"/>
    <w:basedOn w:val="1"/>
    <w:next w:val="1"/>
    <w:qFormat/>
    <w:uiPriority w:val="0"/>
    <w:pPr>
      <w:keepNext/>
      <w:adjustRightInd w:val="0"/>
      <w:spacing w:before="240" w:after="60" w:line="312" w:lineRule="atLeast"/>
      <w:jc w:val="center"/>
      <w:textAlignment w:val="baseline"/>
    </w:pPr>
    <w:rPr>
      <w:rFonts w:ascii="Arial" w:hAnsi="Arial"/>
      <w:b/>
      <w:sz w:val="32"/>
      <w:szCs w:val="20"/>
    </w:rPr>
  </w:style>
  <w:style w:type="paragraph" w:customStyle="1" w:styleId="9">
    <w:name w:val="Table Text"/>
    <w:basedOn w:val="1"/>
    <w:semiHidden/>
    <w:qFormat/>
    <w:uiPriority w:val="0"/>
    <w:rPr>
      <w:rFonts w:ascii="宋体" w:hAnsi="宋体" w:eastAsia="宋体" w:cs="宋体"/>
      <w:lang w:eastAsia="en-US"/>
    </w:rPr>
  </w:style>
  <w:style w:type="table" w:customStyle="1" w:styleId="10">
    <w:name w:val="Table Normal"/>
    <w:unhideWhenUsed/>
    <w:qFormat/>
    <w:uiPriority w:val="0"/>
    <w:tblPr>
      <w:tblCellMar>
        <w:top w:w="0" w:type="dxa"/>
        <w:left w:w="0" w:type="dxa"/>
        <w:bottom w:w="0" w:type="dxa"/>
        <w:right w:w="0" w:type="dxa"/>
      </w:tblCellMar>
    </w:tblPr>
  </w:style>
  <w:style w:type="character" w:customStyle="1" w:styleId="11">
    <w:name w:val="font61"/>
    <w:basedOn w:val="8"/>
    <w:uiPriority w:val="0"/>
    <w:rPr>
      <w:rFonts w:hint="eastAsia" w:ascii="仿宋" w:hAnsi="仿宋" w:eastAsia="仿宋" w:cs="仿宋"/>
      <w:color w:val="000000"/>
      <w:sz w:val="32"/>
      <w:szCs w:val="32"/>
      <w:u w:val="none"/>
    </w:rPr>
  </w:style>
  <w:style w:type="character" w:customStyle="1" w:styleId="12">
    <w:name w:val="font71"/>
    <w:basedOn w:val="8"/>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4359</Words>
  <Characters>4437</Characters>
  <Lines>0</Lines>
  <Paragraphs>0</Paragraphs>
  <TotalTime>1</TotalTime>
  <ScaleCrop>false</ScaleCrop>
  <LinksUpToDate>false</LinksUpToDate>
  <CharactersWithSpaces>4550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2024-07-11T01:37:00Z</dcterms:created>
  <dc:creator>鼎力中创2</dc:creator>
  <cp:lastModifiedBy>WPS_1694750927</cp:lastModifiedBy>
  <dcterms:modified xsi:type="dcterms:W3CDTF">2025-10-30T01:05:26Z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51EE8E83C2F04DA9B8D571FF71CD2FCF_12</vt:lpwstr>
  </property>
  <property fmtid="{D5CDD505-2E9C-101B-9397-08002B2CF9AE}" pid="4" name="KSOTemplateDocerSaveRecord">
    <vt:lpwstr>eyJoZGlkIjoiNGRmZTQ4MGNhYjJkYzY4ODI4YzhkZGFmZTY2OWVlMzAiLCJ1c2VySWQiOiIxNTMyNTc4MzYyIn0=</vt:lpwstr>
  </property>
</Properties>
</file>