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版本号：ZCSP-渭南市-2025-0079520251111002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渭南市河湖长制河（湖、库）一河一策方案等报告编制项目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ZCSP-渭南市-2025-00795</w:t>
      </w:r>
      <w:r>
        <w:br/>
      </w:r>
      <w:r>
        <w:br/>
      </w:r>
      <w:r>
        <w:br/>
      </w:r>
    </w:p>
    <w:p>
      <w:pPr>
        <w:pStyle w:val="null3"/>
        <w:jc w:val="center"/>
        <w:outlineLvl w:val="2"/>
      </w:pPr>
      <w:r>
        <w:rPr>
          <w:rFonts w:ascii="仿宋_GB2312" w:hAnsi="仿宋_GB2312" w:cs="仿宋_GB2312" w:eastAsia="仿宋_GB2312"/>
          <w:sz w:val="28"/>
          <w:b/>
        </w:rPr>
        <w:t>渭南市渭河生态区保护中心</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渭南市渭河生态区保护中心</w:t>
      </w:r>
      <w:r>
        <w:rPr>
          <w:rFonts w:ascii="仿宋_GB2312" w:hAnsi="仿宋_GB2312" w:cs="仿宋_GB2312" w:eastAsia="仿宋_GB2312"/>
        </w:rPr>
        <w:t>委托，拟对</w:t>
      </w:r>
      <w:r>
        <w:rPr>
          <w:rFonts w:ascii="仿宋_GB2312" w:hAnsi="仿宋_GB2312" w:cs="仿宋_GB2312" w:eastAsia="仿宋_GB2312"/>
        </w:rPr>
        <w:t>渭南市河湖长制河（湖、库）一河一策方案等报告编制项目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渭南市河湖长制河（湖、库）一河一策方案等报告编制项目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河湖长制河（湖、库）一河一策方案等报告编制项目完成渭南市河（湖、库）“一河（湖、库）一策”方案报告编制；渭南市金水河、赤水河、方山河3条河湖健康评价报告编制；罗敷河、方山河、双桥河3条河湖岸线保护利用规划报告编制。主要功能或目标：主要以推进河湖治理保护、科学评估河湖健康状态、加强河湖空间的管控，推动岸线有效保护和合理利用的重要措施，对保证河势稳定和防洪安全、生态安全具有重要意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采购包1（渭南市河湖长制河（湖、库）一河一策方案等报告编制项目）：属于专门面向中小企业采购。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投标人应具备独立承担民事责任的能力且具备向采购人提供相关服务的企业法人、事业法人、其他组织或者自然人，提供合法有效的统一社会信用代码的营业执照副本或相关证明（自然人提供身份证复印件）</w:t>
      </w:r>
    </w:p>
    <w:p>
      <w:pPr>
        <w:pStyle w:val="null3"/>
      </w:pPr>
      <w:r>
        <w:rPr>
          <w:rFonts w:ascii="仿宋_GB2312" w:hAnsi="仿宋_GB2312" w:cs="仿宋_GB2312" w:eastAsia="仿宋_GB2312"/>
        </w:rPr>
        <w:t>2、法定代表人（负责人）或授权代表身份证明：投标人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p>
      <w:pPr>
        <w:pStyle w:val="null3"/>
      </w:pPr>
      <w:r>
        <w:rPr>
          <w:rFonts w:ascii="仿宋_GB2312" w:hAnsi="仿宋_GB2312" w:cs="仿宋_GB2312" w:eastAsia="仿宋_GB2312"/>
        </w:rPr>
        <w:t>3、资格要求：投标人具备水利行业工程设计乙级（含乙级）以上资质</w:t>
      </w:r>
    </w:p>
    <w:p>
      <w:pPr>
        <w:pStyle w:val="null3"/>
      </w:pPr>
      <w:r>
        <w:rPr>
          <w:rFonts w:ascii="仿宋_GB2312" w:hAnsi="仿宋_GB2312" w:cs="仿宋_GB2312" w:eastAsia="仿宋_GB2312"/>
        </w:rPr>
        <w:t>4、项目负责人：拟派项目负责人必须具备水利工程相关专业高级技术职称，并提供社保缴纳证明</w:t>
      </w:r>
    </w:p>
    <w:p>
      <w:pPr>
        <w:pStyle w:val="null3"/>
      </w:pPr>
      <w:r>
        <w:rPr>
          <w:rFonts w:ascii="仿宋_GB2312" w:hAnsi="仿宋_GB2312" w:cs="仿宋_GB2312" w:eastAsia="仿宋_GB2312"/>
        </w:rPr>
        <w:t>5、信用信息：投标人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投标人公章，查询日期为公告发布之日起至投标响应截止日止）</w:t>
      </w:r>
    </w:p>
    <w:p>
      <w:pPr>
        <w:pStyle w:val="null3"/>
      </w:pPr>
      <w:r>
        <w:rPr>
          <w:rFonts w:ascii="仿宋_GB2312" w:hAnsi="仿宋_GB2312" w:cs="仿宋_GB2312" w:eastAsia="仿宋_GB2312"/>
        </w:rPr>
        <w:t>6、联合体投标：本项目不接受联合体投标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渭南市渭河生态区保护中心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渭南市高新北区里仁村渭河游客服务中心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渭南市渭河生态区保护中心经办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0913-2055692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0913-2023388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中国招标投标协会关于贯彻&lt;国家发展改革委关于进一步放开建设项目专业服务价格的通知&gt;（发改价格〔2015〕299号）的指导意见》的要求、经双方协商，代理费参照【国家发改委发改价格（2011）534号文件】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渭南市渭河生态区保护中心</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渭南市渭河生态区保护中心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渭南市渭河生态区保护中心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1、满足国家相关技术规范及有关政策的要求，通过采购人及上级部门组织的成果审查验收。2、验收依据：（1）合同；（2）国家有关的验收标准及规范；（3）招标文件、投标文件。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联系人：邱晓艳</w:t>
      </w:r>
    </w:p>
    <w:p>
      <w:pPr>
        <w:pStyle w:val="null3"/>
      </w:pPr>
      <w:r>
        <w:rPr>
          <w:rFonts w:ascii="仿宋_GB2312" w:hAnsi="仿宋_GB2312" w:cs="仿宋_GB2312" w:eastAsia="仿宋_GB2312"/>
        </w:rPr>
        <w:t>联系电话：0913-2023388</w:t>
      </w:r>
    </w:p>
    <w:p>
      <w:pPr>
        <w:pStyle w:val="null3"/>
      </w:pPr>
      <w:r>
        <w:rPr>
          <w:rFonts w:ascii="仿宋_GB2312" w:hAnsi="仿宋_GB2312" w:cs="仿宋_GB2312" w:eastAsia="仿宋_GB2312"/>
        </w:rPr>
        <w:t>地址：渭南市临渭区朝阳大街中段审计大楼八层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渭南市河湖长制河（湖、库）一河一策方案等报告编制项目完成渭南市河（湖、库）“一河（湖、库）一策”方案报告编制；渭南市金水河、赤水河、方山河3条河湖健康评价报告编制；罗敷河、方山河、双桥河3条河湖岸线保护利用规划报告编制。主要功能或目标：主要以推进河湖治理保护、科学评估河湖健康状态、加强河湖空间的管控，推动岸线有效保护和合理利用的重要措施，对保证河势稳定和防洪安全、生态安全具有重要意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渭南市河湖长制河（湖、库）一河一策方案等报告编制项目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标的名称：渭南市河湖长制河（湖、库）一河一策方案等报告编制项目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1、功能要求：完成渭南市河（湖、库）“一河（湖、库）一策”方案报告编制；渭南市金水河、赤水河、方山河3条河湖健康评价报告编制；罗敷河、方山河、双桥河3条河湖岸线保护利用规划报告编制。</w:t>
            </w:r>
          </w:p>
          <w:p>
            <w:pPr>
              <w:pStyle w:val="null3"/>
            </w:pPr>
            <w:r>
              <w:rPr>
                <w:rFonts w:ascii="仿宋_GB2312" w:hAnsi="仿宋_GB2312" w:cs="仿宋_GB2312" w:eastAsia="仿宋_GB2312"/>
              </w:rPr>
              <w:t>主要功能或目标：主要以推进河湖治理保护、科学评估河湖健康状态、加强河湖空间的管控，推动岸线有效保护和合理利用的重要措施，对保证河势稳定和防洪安全、生态安全具有重要意义。</w:t>
            </w:r>
          </w:p>
          <w:p>
            <w:pPr>
              <w:pStyle w:val="null3"/>
            </w:pPr>
            <w:r>
              <w:rPr>
                <w:rFonts w:ascii="仿宋_GB2312" w:hAnsi="仿宋_GB2312" w:cs="仿宋_GB2312" w:eastAsia="仿宋_GB2312"/>
              </w:rPr>
              <w:t>2、分项报告编制具体要求</w:t>
            </w:r>
          </w:p>
          <w:p>
            <w:pPr>
              <w:pStyle w:val="null3"/>
            </w:pPr>
            <w:r>
              <w:rPr>
                <w:rFonts w:ascii="仿宋_GB2312" w:hAnsi="仿宋_GB2312" w:cs="仿宋_GB2312" w:eastAsia="仿宋_GB2312"/>
              </w:rPr>
              <w:t>（</w:t>
            </w:r>
            <w:r>
              <w:rPr>
                <w:rFonts w:ascii="仿宋_GB2312" w:hAnsi="仿宋_GB2312" w:cs="仿宋_GB2312" w:eastAsia="仿宋_GB2312"/>
              </w:rPr>
              <w:t>1）、“一河（湖、库）一策”方案报告编制</w:t>
            </w:r>
          </w:p>
          <w:p>
            <w:pPr>
              <w:pStyle w:val="null3"/>
            </w:pPr>
            <w:r>
              <w:rPr>
                <w:rFonts w:ascii="仿宋_GB2312" w:hAnsi="仿宋_GB2312" w:cs="仿宋_GB2312" w:eastAsia="仿宋_GB2312"/>
              </w:rPr>
              <w:t>河湖库</w:t>
            </w:r>
            <w:r>
              <w:rPr>
                <w:rFonts w:ascii="仿宋_GB2312" w:hAnsi="仿宋_GB2312" w:cs="仿宋_GB2312" w:eastAsia="仿宋_GB2312"/>
              </w:rPr>
              <w:t>“一河（湖、库）一策”方案是围绕河湖长制任务，针对水资源、水环境和水生态方面的现状，分析存在的主要问题，提出管理保护的总体目标和具体指标，明确各级各部门的主要任务，制定相应的河湖管理保护措施，形成河湖管理保护方案。编制“一河（湖、库）一策”方案是全面推行河长制的基础工作，是有序推进河湖治理保护，维护河湖生态健康生命的重要措施。按照水利部和省河长办关于开展“一河（湖、库）一策”编制工作要求，我市应启动“一河（湖、库）一策”（第二轮）方案编制工作。其中本次编制河湖长的渭河、涧峪水库等17条（座）河（库）“一河（湖、库）一策”方案报告编制；</w:t>
            </w:r>
          </w:p>
          <w:p>
            <w:pPr>
              <w:pStyle w:val="null3"/>
            </w:pP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2）、河湖健康评价报告编制</w:t>
            </w:r>
          </w:p>
          <w:p>
            <w:pPr>
              <w:pStyle w:val="null3"/>
            </w:pPr>
            <w:r>
              <w:rPr>
                <w:rFonts w:ascii="仿宋_GB2312" w:hAnsi="仿宋_GB2312" w:cs="仿宋_GB2312" w:eastAsia="仿宋_GB2312"/>
              </w:rPr>
              <w:t>河湖健康评价是通过</w:t>
            </w:r>
            <w:r>
              <w:rPr>
                <w:rFonts w:ascii="仿宋_GB2312" w:hAnsi="仿宋_GB2312" w:cs="仿宋_GB2312" w:eastAsia="仿宋_GB2312"/>
              </w:rPr>
              <w:t>“盆”、水、生物、社会服务功能等四个准则层评价指标体系，围绕水域岸线利用管理、水量、水质、生物多样性和防洪等方面，对河湖生态进行评价，科学评估、动态掌握河湖健康状态、系统分析河湖问题，提出保护对策。河湖健康评价是评估河湖健康状态、科学分析河湖存在问题、强化落实河湖长制的重要举措，科学合理编制“一河（湖、库）一策”的重要依据，是各级河湖长组织领导河湖管理保护工作的重要参考。按照水利部和省河长办关于开展河湖健康评价、建立河湖健康档案工作安排。我市任务包括28条河流的河湖健康评价工作，由市级完成6条跨县河流健康评价。其中本次需要完成金水河、赤水河、方山河等3条河流健康评价；</w:t>
            </w:r>
          </w:p>
          <w:p>
            <w:pPr>
              <w:pStyle w:val="null3"/>
            </w:pPr>
            <w:r>
              <w:rPr>
                <w:rFonts w:ascii="仿宋_GB2312" w:hAnsi="仿宋_GB2312" w:cs="仿宋_GB2312" w:eastAsia="仿宋_GB2312"/>
              </w:rPr>
              <w:t>（</w:t>
            </w:r>
            <w:r>
              <w:rPr>
                <w:rFonts w:ascii="仿宋_GB2312" w:hAnsi="仿宋_GB2312" w:cs="仿宋_GB2312" w:eastAsia="仿宋_GB2312"/>
              </w:rPr>
              <w:t>3）、河湖岸线保护利用规划报告编制</w:t>
            </w:r>
          </w:p>
          <w:p>
            <w:pPr>
              <w:pStyle w:val="null3"/>
            </w:pPr>
            <w:r>
              <w:rPr>
                <w:rFonts w:ascii="仿宋_GB2312" w:hAnsi="仿宋_GB2312" w:cs="仿宋_GB2312" w:eastAsia="仿宋_GB2312"/>
              </w:rPr>
              <w:t>河湖岸线保护利用规划是划定河湖岸线功能分区，是加强河岸线空间管控的重要基础，是推动岸线有效保护和合理利用的重要措施，对于保障河势稳定和防洪安全、生态安全具有重要意义。本次开展河湖岸线保护利用规划报告编制工作的河道为：罗敷河、方山河、双桥河</w:t>
            </w:r>
            <w:r>
              <w:rPr>
                <w:rFonts w:ascii="仿宋_GB2312" w:hAnsi="仿宋_GB2312" w:cs="仿宋_GB2312" w:eastAsia="仿宋_GB2312"/>
              </w:rPr>
              <w:t>3条河流；</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1、中共中央办公厅、国务院办公厅《关于全面推行河长制的意见》《关于在湖泊实施湖长制的指导意见》</w:t>
            </w:r>
          </w:p>
          <w:p>
            <w:pPr>
              <w:pStyle w:val="null3"/>
            </w:pPr>
            <w:r>
              <w:rPr>
                <w:rFonts w:ascii="仿宋_GB2312" w:hAnsi="仿宋_GB2312" w:cs="仿宋_GB2312" w:eastAsia="仿宋_GB2312"/>
              </w:rPr>
              <w:t>2、水利部、环境保护部贯彻落实《关于全面推行河长制的意见实施方案》；</w:t>
            </w:r>
          </w:p>
          <w:p>
            <w:pPr>
              <w:pStyle w:val="null3"/>
            </w:pPr>
            <w:r>
              <w:rPr>
                <w:rFonts w:ascii="仿宋_GB2312" w:hAnsi="仿宋_GB2312" w:cs="仿宋_GB2312" w:eastAsia="仿宋_GB2312"/>
              </w:rPr>
              <w:t>3、水利部办公厅“一河（湖）一策”方案编制指南（试</w:t>
            </w:r>
          </w:p>
          <w:p>
            <w:pPr>
              <w:pStyle w:val="null3"/>
            </w:pPr>
            <w:r>
              <w:rPr>
                <w:rFonts w:ascii="仿宋_GB2312" w:hAnsi="仿宋_GB2312" w:cs="仿宋_GB2312" w:eastAsia="仿宋_GB2312"/>
              </w:rPr>
              <w:t>行）；</w:t>
            </w:r>
          </w:p>
          <w:p>
            <w:pPr>
              <w:pStyle w:val="null3"/>
            </w:pPr>
            <w:r>
              <w:rPr>
                <w:rFonts w:ascii="仿宋_GB2312" w:hAnsi="仿宋_GB2312" w:cs="仿宋_GB2312" w:eastAsia="仿宋_GB2312"/>
              </w:rPr>
              <w:t>4、陕西省人民政府《关于全面推行河长制的实施方案》、《关于实施湖长制的意见》；</w:t>
            </w:r>
          </w:p>
          <w:p>
            <w:pPr>
              <w:pStyle w:val="null3"/>
            </w:pPr>
            <w:r>
              <w:rPr>
                <w:rFonts w:ascii="仿宋_GB2312" w:hAnsi="仿宋_GB2312" w:cs="仿宋_GB2312" w:eastAsia="仿宋_GB2312"/>
              </w:rPr>
              <w:t>5、陕西河长办《关于开展河湖岸线保护与利用规划评估、“一河（湖）一策”实施方案修编等工作的通知》</w:t>
            </w:r>
          </w:p>
          <w:p>
            <w:pPr>
              <w:pStyle w:val="null3"/>
            </w:pPr>
            <w:r>
              <w:rPr>
                <w:rFonts w:ascii="仿宋_GB2312" w:hAnsi="仿宋_GB2312" w:cs="仿宋_GB2312" w:eastAsia="仿宋_GB2312"/>
              </w:rPr>
              <w:t>6、《关于印发2024年各市区河湖长制工作目标任务的通知》等文件要求</w:t>
            </w:r>
          </w:p>
          <w:p>
            <w:pPr>
              <w:pStyle w:val="null3"/>
            </w:pPr>
            <w:r>
              <w:rPr>
                <w:rFonts w:ascii="仿宋_GB2312" w:hAnsi="仿宋_GB2312" w:cs="仿宋_GB2312" w:eastAsia="仿宋_GB2312"/>
              </w:rPr>
              <w:t>7、《2025年各市区河湖长制工作任务》的通知</w:t>
            </w:r>
          </w:p>
          <w:p>
            <w:pPr>
              <w:pStyle w:val="null3"/>
            </w:pPr>
            <w:r>
              <w:rPr>
                <w:rFonts w:ascii="仿宋_GB2312" w:hAnsi="仿宋_GB2312" w:cs="仿宋_GB2312" w:eastAsia="仿宋_GB2312"/>
              </w:rPr>
              <w:t>8、《关于开展河湖岸线保护与利用规划评估、“一河(湖)一策”实施方案修编等工作的通知》</w:t>
            </w:r>
          </w:p>
          <w:p>
            <w:pPr>
              <w:pStyle w:val="null3"/>
            </w:pPr>
            <w:r>
              <w:rPr>
                <w:rFonts w:ascii="仿宋_GB2312" w:hAnsi="仿宋_GB2312" w:cs="仿宋_GB2312" w:eastAsia="仿宋_GB2312"/>
              </w:rPr>
              <w:t>9、《关于加快2025年度河湖健康评价、“一河(湖)一策”修编工作的提醒单》</w:t>
            </w:r>
          </w:p>
          <w:p>
            <w:pPr>
              <w:pStyle w:val="null3"/>
            </w:pPr>
            <w:r>
              <w:rPr>
                <w:rFonts w:ascii="仿宋_GB2312" w:hAnsi="仿宋_GB2312" w:cs="仿宋_GB2312" w:eastAsia="仿宋_GB2312"/>
              </w:rPr>
              <w:t>三</w:t>
            </w:r>
            <w:r>
              <w:rPr>
                <w:rFonts w:ascii="仿宋_GB2312" w:hAnsi="仿宋_GB2312" w:cs="仿宋_GB2312" w:eastAsia="仿宋_GB2312"/>
              </w:rPr>
              <w:t>、服务期限：自合同签订之日起</w:t>
            </w:r>
            <w:r>
              <w:rPr>
                <w:rFonts w:ascii="仿宋_GB2312" w:hAnsi="仿宋_GB2312" w:cs="仿宋_GB2312" w:eastAsia="仿宋_GB2312"/>
              </w:rPr>
              <w:t>30日历天。</w:t>
            </w:r>
          </w:p>
          <w:p>
            <w:pPr>
              <w:pStyle w:val="null3"/>
            </w:pPr>
            <w:r>
              <w:rPr>
                <w:rFonts w:ascii="仿宋_GB2312" w:hAnsi="仿宋_GB2312" w:cs="仿宋_GB2312" w:eastAsia="仿宋_GB2312"/>
              </w:rPr>
              <w:t>四</w:t>
            </w:r>
            <w:r>
              <w:rPr>
                <w:rFonts w:ascii="仿宋_GB2312" w:hAnsi="仿宋_GB2312" w:cs="仿宋_GB2312" w:eastAsia="仿宋_GB2312"/>
              </w:rPr>
              <w:t>、服务地点：渭南市境内。</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、质量标准：达到国家或行业标准相关规范或标准。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商务报价要求说明：</w:t>
            </w:r>
          </w:p>
          <w:tbl>
            <w:tblPr>
              <w:tblInd w:type="dxa" w:w="195"/>
              <w:tblBorders>
                <w:top w:val="none" w:color="000000" w:sz="4"/>
                <w:left w:val="none" w:color="000000" w:sz="4"/>
                <w:bottom w:val="none" w:color="000000" w:sz="4"/>
                <w:right w:val="none" w:color="000000" w:sz="4"/>
                <w:insideH w:val="none"/>
                <w:insideV w:val="none"/>
              </w:tblBorders>
            </w:tblPr>
            <w:tblGrid>
              <w:gridCol w:w="326"/>
              <w:gridCol w:w="1132"/>
              <w:gridCol w:w="1096"/>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分项</w:t>
                  </w:r>
                  <w:r>
                    <w:rPr>
                      <w:rFonts w:ascii="仿宋_GB2312" w:hAnsi="仿宋_GB2312" w:cs="仿宋_GB2312" w:eastAsia="仿宋_GB2312"/>
                      <w:sz w:val="22"/>
                    </w:rPr>
                    <w:t>报价</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分项工程最高限价（万元）</w:t>
                  </w:r>
                  <w:r>
                    <w:rPr>
                      <w:rFonts w:ascii="仿宋_GB2312" w:hAnsi="仿宋_GB2312" w:cs="仿宋_GB2312" w:eastAsia="仿宋_GB2312"/>
                      <w:sz w:val="22"/>
                    </w:rPr>
                    <w:t xml:space="preserve">     </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“一河（湖、库）一策”方案报告编制</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205.01</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河湖健康评价报告编制</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27.46</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河湖岸线保护利用规划报告编制</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37.53</w:t>
                  </w:r>
                </w:p>
              </w:tc>
            </w:tr>
          </w:tbl>
          <w:p>
            <w:pPr>
              <w:pStyle w:val="null3"/>
              <w:jc w:val="both"/>
            </w:pPr>
            <w:r>
              <w:rPr>
                <w:rFonts w:ascii="仿宋_GB2312" w:hAnsi="仿宋_GB2312" w:cs="仿宋_GB2312" w:eastAsia="仿宋_GB2312"/>
                <w:sz w:val="20"/>
              </w:rPr>
              <w:t>以上为各分项报价最高限价，投标人报价均不应超过分项最高限价控制。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服务标准：满足现行国家相关标准、行业标准达到合格要求。 服务要求：满足采购人及招标文件要求。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1、满足国家相关技术规范及有关政策的要求，通过采购人及上级部门组织的成果审查验收。2、验收依据：（1）合同；（2）国家有关的验收标准及规范；（3）招标文件、投标文件。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初步成果提交后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通过技术审查后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以转账、支票、汇票等方式递交投标保证金的，须从供应商户名支付，如从个人户名或非供应商户名支付，将被拒绝，视为自动放弃投标权利；投标保证金以采购代理机构到账凭证为准，供应商需更换交纳凭证，由采购代理机构统一提供保证金收据；供应商应在投标文件中附收据复印件。（2）以保函形式交纳投标保证金的，供应商应在响应截止时间前持保函原件至代理机构财务处换取收据；供应商应在投标文件中附收据复印件。保函必须由具有开具投标保函资格的单位开具；若供应商违约，开具保函单位承担连带责任；（3）投标保证金的提交金额、时间不满足投标文件要求的，投标无效；（4）未按指定账户提交的，我公司将退回，供应商须在文件递交截止时间前按照指定账户再次提交。 2、投标截止日后2个工作日内提供纸质版投标文件两份、电子版（PDF格式）一份（经编标工具生成的投标文件进行下载、打印），提供的纸质版文件内容确保与线上电子投标文件保持一致，不允许修改和补充。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①投标人应具备独立承担民事责任的能力且具备向采购人提供相关服务的企业法人、事业法人、其他组织或者自然人，提供合法有效的统一社会信用代码的营业执照副本或相关证明（自然人提供身份证复印件）； ②有依法缴纳税收的记录，提供投标人开标前六个月至今已缴纳任意一个月完税凭证或税务机关开具的完税证明；依法免税的供应商应提供相关文件证明； ③有依法缴纳社会保障资金的记录，投标人应提供开标前六个月至今已缴存的任意一个月的社会保障资金缴存证明或社保机构开具的社会保险参保缴费情况证明；依法不需要缴纳社会保障资金的应提供相关文件证明； ④提供具备履行合同所必需的设备和专业技术能力的承诺； ⑤提供参加政府采购活动前3年内在经营活动中没有重大违法记录的书面声明；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投标人资格证明文件及相关附件.docx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至少包括资产负债表和利润表；成立时间至提交投标文件截止时间不足一年的可提供成立后任意时段的资产负债表）或开标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投标人资格证明文件及相关附件.docx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单位负责人为同一人或者存在直接控股、管理关系的不同投标人按提交投标文件，按递交顺序只接受第一家投标文件，其他投标人按无效标处理；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投标人资格证明文件及相关附件.docx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投标人应具备独立承担民事责任的能力且具备向采购人提供相关服务的企业法人、事业法人、其他组织或者自然人，提供合法有效的统一社会信用代码的营业执照副本或相关证明（自然人提供身份证复印件）</w:t>
            </w:r>
          </w:p>
        </w:tc>
        <w:tc>
          <w:tcPr>
            <w:tcW w:type="dxa" w:w="1661"/>
          </w:tcPr>
          <w:p>
            <w:pPr>
              <w:pStyle w:val="null3"/>
            </w:pPr>
            <w:r>
              <w:rPr>
                <w:rFonts w:ascii="仿宋_GB2312" w:hAnsi="仿宋_GB2312" w:cs="仿宋_GB2312" w:eastAsia="仿宋_GB2312"/>
              </w:rPr>
              <w:t>投标人资格证明文件及相关附件.docx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投标人资格证明文件及相关附件.docx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投标人具备水利行业工程设计乙级（含乙级）以上资质</w:t>
            </w:r>
          </w:p>
        </w:tc>
        <w:tc>
          <w:tcPr>
            <w:tcW w:type="dxa" w:w="1661"/>
          </w:tcPr>
          <w:p>
            <w:pPr>
              <w:pStyle w:val="null3"/>
            </w:pPr>
            <w:r>
              <w:rPr>
                <w:rFonts w:ascii="仿宋_GB2312" w:hAnsi="仿宋_GB2312" w:cs="仿宋_GB2312" w:eastAsia="仿宋_GB2312"/>
              </w:rPr>
              <w:t>投标人资格证明文件及相关附件.docx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拟派项目负责人必须具备水利工程相关专业高级技术职称，并提供社保缴纳证明</w:t>
            </w:r>
          </w:p>
        </w:tc>
        <w:tc>
          <w:tcPr>
            <w:tcW w:type="dxa" w:w="1661"/>
          </w:tcPr>
          <w:p>
            <w:pPr>
              <w:pStyle w:val="null3"/>
            </w:pPr>
            <w:r>
              <w:rPr>
                <w:rFonts w:ascii="仿宋_GB2312" w:hAnsi="仿宋_GB2312" w:cs="仿宋_GB2312" w:eastAsia="仿宋_GB2312"/>
              </w:rPr>
              <w:t>投标人资格证明文件及相关附件.docx 人员配备.docx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投标人公章，查询日期为公告发布之日起至投标响应截止日止）</w:t>
            </w:r>
          </w:p>
        </w:tc>
        <w:tc>
          <w:tcPr>
            <w:tcW w:type="dxa" w:w="1661"/>
          </w:tcPr>
          <w:p>
            <w:pPr>
              <w:pStyle w:val="null3"/>
            </w:pPr>
            <w:r>
              <w:rPr>
                <w:rFonts w:ascii="仿宋_GB2312" w:hAnsi="仿宋_GB2312" w:cs="仿宋_GB2312" w:eastAsia="仿宋_GB2312"/>
              </w:rPr>
              <w:t>投标人资格证明文件及相关附件.docx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投标人资格证明文件及相关附件.docx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包(1)_标的分项报价清单.docx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投标文件签章及格式响应</w:t>
            </w:r>
          </w:p>
        </w:tc>
        <w:tc>
          <w:tcPr>
            <w:tcW w:type="dxa" w:w="3322"/>
          </w:tcPr>
          <w:p>
            <w:pPr>
              <w:pStyle w:val="null3"/>
            </w:pPr>
            <w:r>
              <w:rPr>
                <w:rFonts w:ascii="仿宋_GB2312" w:hAnsi="仿宋_GB2312" w:cs="仿宋_GB2312" w:eastAsia="仿宋_GB2312"/>
              </w:rPr>
              <w:t>投标文件签章及格式满足招标文件的要求</w:t>
            </w:r>
          </w:p>
        </w:tc>
        <w:tc>
          <w:tcPr>
            <w:tcW w:type="dxa" w:w="1661"/>
          </w:tcPr>
          <w:p>
            <w:pPr>
              <w:pStyle w:val="null3"/>
            </w:pPr>
            <w:r>
              <w:rPr>
                <w:rFonts w:ascii="仿宋_GB2312" w:hAnsi="仿宋_GB2312" w:cs="仿宋_GB2312" w:eastAsia="仿宋_GB2312"/>
              </w:rPr>
              <w:t>开标一览表 包(1)_标的分项报价清单.docx 投标人资格证明文件及相关附件.docx 服务内容及服务邀请应答表 人员配备.docx 中小企业声明函 商务应答表.docx 投标函 残疾人福利性单位声明函 标的清单 投标文件封面 服务方案.docx 监狱企业的证明文件 投标保证金.docx 投标人已完成类似业绩.docx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投标人投标报价不得高于最高限价（总价）和单项最高限价。</w:t>
            </w:r>
          </w:p>
        </w:tc>
        <w:tc>
          <w:tcPr>
            <w:tcW w:type="dxa" w:w="1661"/>
          </w:tcPr>
          <w:p>
            <w:pPr>
              <w:pStyle w:val="null3"/>
            </w:pPr>
            <w:r>
              <w:rPr>
                <w:rFonts w:ascii="仿宋_GB2312" w:hAnsi="仿宋_GB2312" w:cs="仿宋_GB2312" w:eastAsia="仿宋_GB2312"/>
              </w:rPr>
              <w:t>包(1)_标的分项报价清单.docx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投标保证金凭证或担保机构出具的保函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投标人文件中对合同草案条款未附加采购人难以接受的条件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投标响应内容</w:t>
            </w:r>
          </w:p>
        </w:tc>
        <w:tc>
          <w:tcPr>
            <w:tcW w:type="dxa" w:w="3322"/>
          </w:tcPr>
          <w:p>
            <w:pPr>
              <w:pStyle w:val="null3"/>
            </w:pPr>
            <w:r>
              <w:rPr>
                <w:rFonts w:ascii="仿宋_GB2312" w:hAnsi="仿宋_GB2312" w:cs="仿宋_GB2312" w:eastAsia="仿宋_GB2312"/>
              </w:rPr>
              <w:t>投标人提供的服务无实质性遗漏</w:t>
            </w:r>
          </w:p>
        </w:tc>
        <w:tc>
          <w:tcPr>
            <w:tcW w:type="dxa" w:w="1661"/>
          </w:tcPr>
          <w:p>
            <w:pPr>
              <w:pStyle w:val="null3"/>
            </w:pPr>
            <w:r>
              <w:rPr>
                <w:rFonts w:ascii="仿宋_GB2312" w:hAnsi="仿宋_GB2312" w:cs="仿宋_GB2312" w:eastAsia="仿宋_GB2312"/>
              </w:rPr>
              <w:t>开标一览表 包(1)_标的分项报价清单.docx 投标人资格证明文件及相关附件.docx 服务内容及服务邀请应答表 人员配备.docx 中小企业声明函 商务应答表.docx 投标函 残疾人福利性单位声明函 标的清单 投标文件封面 服务方案.docx 监狱企业的证明文件 投标保证金.docx 投标人已完成类似业绩.docx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实施总体方案编制</w:t>
            </w:r>
          </w:p>
        </w:tc>
        <w:tc>
          <w:tcPr>
            <w:tcW w:type="dxa" w:w="2492"/>
          </w:tcPr>
          <w:p>
            <w:pPr>
              <w:pStyle w:val="null3"/>
            </w:pPr>
            <w:r>
              <w:rPr>
                <w:rFonts w:ascii="仿宋_GB2312" w:hAnsi="仿宋_GB2312" w:cs="仿宋_GB2312" w:eastAsia="仿宋_GB2312"/>
              </w:rPr>
              <w:t>1.针对本项目采购需求理念超前，编制思路清晰，满足采购需求计16.1-20分； 2.针对本项目采购需求思路可行，内容基本完善计12.1-16分； 3.编制思路理念落后或于本项目适用性差计0.1-12分； 4.未提供不计分。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1.能够提出本项目实施过程中可能遇见的重点、难点，对本项目适用性强，并提供针对性强的措施及有效的解决方案10.1-14分； 2.能够提出本项目实施过程中可能遇见的重点、难点，但对本项目适用性不很强，未提供针对性的措施或有效的解决方案计6.1-10分； 3.提出本项目实施过程中可能遇见的重点、难点不适用，或无针对性的措施或解决方案计0.1-6分； 4.未提供不计分。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项目进度安排及成果递交</w:t>
            </w:r>
          </w:p>
        </w:tc>
        <w:tc>
          <w:tcPr>
            <w:tcW w:type="dxa" w:w="2492"/>
          </w:tcPr>
          <w:p>
            <w:pPr>
              <w:pStyle w:val="null3"/>
            </w:pPr>
            <w:r>
              <w:rPr>
                <w:rFonts w:ascii="仿宋_GB2312" w:hAnsi="仿宋_GB2312" w:cs="仿宋_GB2312" w:eastAsia="仿宋_GB2312"/>
              </w:rPr>
              <w:t>1.针对本项目有详细的项目进度安排，工作安排完整详尽，能确保按期完成成果递交计6.1-9分； 2.针对本项目有项目进度安排，工作安排基本完整和明确计3.1-6分； 3.项目进度安排不合理，难以保证按期完成成果递交的计0.1-3分； 4.未提供项目进度安排不计分。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质量保障措施及所配备的专业设施设备等。设施设备有保障，服务质量的保障措施科学合理、具体可行得5.1-7分；设施设备满足项目需求，保障措施基本合理得3.1-5分；配有设施设备，但保障措施简单、不利于项目实施得0.1-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突发事件应急预案和措施</w:t>
            </w:r>
          </w:p>
        </w:tc>
        <w:tc>
          <w:tcPr>
            <w:tcW w:type="dxa" w:w="2492"/>
          </w:tcPr>
          <w:p>
            <w:pPr>
              <w:pStyle w:val="null3"/>
            </w:pPr>
            <w:r>
              <w:rPr>
                <w:rFonts w:ascii="仿宋_GB2312" w:hAnsi="仿宋_GB2312" w:cs="仿宋_GB2312" w:eastAsia="仿宋_GB2312"/>
              </w:rPr>
              <w:t>针对本项目实施过程中出现的突发情况编制应急预案和措施，包含①在项目实施过程中出现突发问题的应急处置方案；②应急响应时间；③出现突发状况应急人员安排；应急预案和措施在完整性、可实施性、针对性科学合理，具体可行得5.1-7分；应急预案和措施在完整性、可实施性、针对性满足项目需求，保障措施基本合理得3.1-5分；应急预案和措施具有，在完整性、可实施性、针对性但保障措施简单、不利于项目实施得0.1-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团队人员配置（1）</w:t>
            </w:r>
          </w:p>
        </w:tc>
        <w:tc>
          <w:tcPr>
            <w:tcW w:type="dxa" w:w="2492"/>
          </w:tcPr>
          <w:p>
            <w:pPr>
              <w:pStyle w:val="null3"/>
            </w:pPr>
            <w:r>
              <w:rPr>
                <w:rFonts w:ascii="仿宋_GB2312" w:hAnsi="仿宋_GB2312" w:cs="仿宋_GB2312" w:eastAsia="仿宋_GB2312"/>
              </w:rPr>
              <w:t>团队人员配置（项目负责人除外）：人员配备齐全、结构合理、职责清晰，完全满足得[2.1-3]分；基本满足得[1.1-2]分；不满足不得分。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团队人员配置（2）</w:t>
            </w:r>
          </w:p>
        </w:tc>
        <w:tc>
          <w:tcPr>
            <w:tcW w:type="dxa" w:w="2492"/>
          </w:tcPr>
          <w:p>
            <w:pPr>
              <w:pStyle w:val="null3"/>
            </w:pPr>
            <w:r>
              <w:rPr>
                <w:rFonts w:ascii="仿宋_GB2312" w:hAnsi="仿宋_GB2312" w:cs="仿宋_GB2312" w:eastAsia="仿宋_GB2312"/>
              </w:rPr>
              <w:t>团队人员配置（项目负责人除外）：团队其他人员每具有一名中级职称的得 0.5 分，高级及以上职称得 1 分,本项最多得5分。（团队人员须提供职称证书复印件并加盖公章）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1.项目负责人从业经验年限达15年以上，计3分，从业经验年限达10年，计2分，以下不计分（需提供相关证明材料）。 2.项目负责人业绩：每提供一项担任项目负责人业绩计2分，参与类似项目一项计1分，此项满分为4分。（业绩证明材料业绩需提供体现负责人姓名的合同或签署成果文件）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供应商提供完成的业绩，每提供一项类似业绩计2分，最高计8分。（以合同签订日期为准，供应商须提供合同或中标（成交）通知书复印件加盖公章。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投标人已完成类似业绩.docx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评标基准价的确定：经评标委员会对各投标人符合性审查合格后，以投标报价最低投标价为评标基准价，得20分。 根据下列公式计算出各投标人的报价得分： 投标报价得分=（评标基准价/有效投标报价）×20%×100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包(1)_标的分项报价清单.docx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详见附件：投标人资格证明文件及相关附件.docx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详见附件：包(1)_标的分项报价清单.docx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详见附件：投标人已完成类似业绩.docx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