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版本号：ZCSP-渭南市-2025-0078320251031003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粮油绿色高效提单产建设项目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ZCSP-渭南市-2025-00783</w:t>
      </w:r>
      <w:r>
        <w:br/>
      </w:r>
      <w:r>
        <w:br/>
      </w:r>
      <w:r>
        <w:br/>
      </w:r>
    </w:p>
    <w:p>
      <w:pPr>
        <w:pStyle w:val="null3"/>
        <w:jc w:val="center"/>
        <w:outlineLvl w:val="2"/>
      </w:pPr>
      <w:r>
        <w:rPr>
          <w:rFonts w:ascii="仿宋_GB2312" w:hAnsi="仿宋_GB2312" w:cs="仿宋_GB2312" w:eastAsia="仿宋_GB2312"/>
          <w:sz w:val="28"/>
          <w:b/>
        </w:rPr>
        <w:t>渭南市农业技术推广中心</w:t>
      </w:r>
    </w:p>
    <w:p>
      <w:pPr>
        <w:pStyle w:val="null3"/>
        <w:jc w:val="center"/>
        <w:outlineLvl w:val="2"/>
      </w:pPr>
      <w:r>
        <w:rPr>
          <w:rFonts w:ascii="仿宋_GB2312" w:hAnsi="仿宋_GB2312" w:cs="仿宋_GB2312" w:eastAsia="仿宋_GB2312"/>
          <w:sz w:val="28"/>
          <w:b/>
        </w:rPr>
        <w:t>陕西宏远项目管理有限公司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陕西宏远项目管理有限公司</w:t>
      </w:r>
      <w:r>
        <w:rPr>
          <w:rFonts w:ascii="仿宋_GB2312" w:hAnsi="仿宋_GB2312" w:cs="仿宋_GB2312" w:eastAsia="仿宋_GB2312"/>
        </w:rPr>
        <w:t>（以下简称“代理机构”）受</w:t>
      </w:r>
      <w:r>
        <w:rPr>
          <w:rFonts w:ascii="仿宋_GB2312" w:hAnsi="仿宋_GB2312" w:cs="仿宋_GB2312" w:eastAsia="仿宋_GB2312"/>
        </w:rPr>
        <w:t>渭南市农业技术推广中心</w:t>
      </w:r>
      <w:r>
        <w:rPr>
          <w:rFonts w:ascii="仿宋_GB2312" w:hAnsi="仿宋_GB2312" w:cs="仿宋_GB2312" w:eastAsia="仿宋_GB2312"/>
        </w:rPr>
        <w:t>委托，拟对</w:t>
      </w:r>
      <w:r>
        <w:rPr>
          <w:rFonts w:ascii="仿宋_GB2312" w:hAnsi="仿宋_GB2312" w:cs="仿宋_GB2312" w:eastAsia="仿宋_GB2312"/>
        </w:rPr>
        <w:t>粮油绿色高效提单产建设项目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粮油绿色高效提单产建设项目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建设11个单个田块100亩水肥精准调控、1个单个田块100亩的全自动水肥精准调控展示区，单产力争较周边大田提高15%，节水节肥2%。</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采购包1（粮油绿色高效提单产建设项目）：属于专门面向中小企业采购。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1、营业执照：具有独立承担民事责任能力的法人或自然人，提供合法有效的统一社会信用代码营业执照（自然人应提供身份证）。</w:t>
      </w:r>
    </w:p>
    <w:p>
      <w:pPr>
        <w:pStyle w:val="null3"/>
      </w:pPr>
      <w:r>
        <w:rPr>
          <w:rFonts w:ascii="仿宋_GB2312" w:hAnsi="仿宋_GB2312" w:cs="仿宋_GB2312" w:eastAsia="仿宋_GB2312"/>
        </w:rPr>
        <w:t>2、供应商授权：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p>
      <w:pPr>
        <w:pStyle w:val="null3"/>
      </w:pPr>
      <w:r>
        <w:rPr>
          <w:rFonts w:ascii="仿宋_GB2312" w:hAnsi="仿宋_GB2312" w:cs="仿宋_GB2312" w:eastAsia="仿宋_GB2312"/>
        </w:rPr>
        <w:t>3、税收缴纳证明和社会保障资金缴纳证明：①税收缴纳证明：提供截止至开标时间前一年内已缴纳的至少三个月的纳税证明或完税证明，依法免税的单位应提供相关证明材料；②社会保障资金缴纳证明：提供截止至开标时间前一年内至今至少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提供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5、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6、提供参加本次政府采购活动前三年内在经营活动中没有重大违法记录的书面声明：提供参加本次政府采购活动前三年内在经营活动中没有重大违法记录的书面声明；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7、履约能力：具有履行合同所必需的设备和专业技术能力的书面声明；</w:t>
      </w:r>
    </w:p>
    <w:p>
      <w:pPr>
        <w:pStyle w:val="null3"/>
      </w:pPr>
      <w:r>
        <w:rPr>
          <w:rFonts w:ascii="仿宋_GB2312" w:hAnsi="仿宋_GB2312" w:cs="仿宋_GB2312" w:eastAsia="仿宋_GB2312"/>
        </w:rPr>
        <w:t>8、供应商关联关系声明：单位负责人为同一人或者存在直接控股、管理关系的不同供应商，不得参加同一合同项下的政府采购活动；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9、特定资格：肥料须提供所投产品有效期内的肥料登记证或农业农村部登记备案证明，经销代理商的提供生产厂家的肥料登记证或农业农村部登记备案证明材料；</w:t>
      </w:r>
    </w:p>
    <w:p>
      <w:pPr>
        <w:pStyle w:val="null3"/>
      </w:pPr>
      <w:r>
        <w:rPr>
          <w:rFonts w:ascii="仿宋_GB2312" w:hAnsi="仿宋_GB2312" w:cs="仿宋_GB2312" w:eastAsia="仿宋_GB2312"/>
        </w:rPr>
        <w:t>10、联合体磋商：本次项目不接受联合体投标（提供非联合体声明）。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渭南市东风大街60号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15009133865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陕西宏远项目管理有限公司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渭南市临渭区仓程路华盛公寓1716室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吝朴玉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19191626406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 号）和发改办价格〔2003〕857 号以及发改价格〔2011〕534 号文中规定的标准收取。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渭南市农业技术推广中心</w:t>
      </w:r>
      <w:r>
        <w:rPr>
          <w:rFonts w:ascii="仿宋_GB2312" w:hAnsi="仿宋_GB2312" w:cs="仿宋_GB2312" w:eastAsia="仿宋_GB2312"/>
        </w:rPr>
        <w:t>和</w:t>
      </w:r>
      <w:r>
        <w:rPr>
          <w:rFonts w:ascii="仿宋_GB2312" w:hAnsi="仿宋_GB2312" w:cs="仿宋_GB2312" w:eastAsia="仿宋_GB2312"/>
        </w:rPr>
        <w:t>陕西宏远项目管理有限公司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陕西宏远项目管理有限公司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陕西宏远项目管理有限公司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陕西宏远项目管理有限公司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陕西宏远项目管理有限公司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陕西宏远项目管理有限公司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联系人：吝朴玉</w:t>
      </w:r>
    </w:p>
    <w:p>
      <w:pPr>
        <w:pStyle w:val="null3"/>
      </w:pPr>
      <w:r>
        <w:rPr>
          <w:rFonts w:ascii="仿宋_GB2312" w:hAnsi="仿宋_GB2312" w:cs="仿宋_GB2312" w:eastAsia="仿宋_GB2312"/>
        </w:rPr>
        <w:t>联系电话：19191626406</w:t>
      </w:r>
    </w:p>
    <w:p>
      <w:pPr>
        <w:pStyle w:val="null3"/>
      </w:pPr>
      <w:r>
        <w:rPr>
          <w:rFonts w:ascii="仿宋_GB2312" w:hAnsi="仿宋_GB2312" w:cs="仿宋_GB2312" w:eastAsia="仿宋_GB2312"/>
        </w:rPr>
        <w:t>地址：渭南市临渭区仓程路华盛公寓1716室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建设11个单个田块100亩水肥精准调控展示区、1个单个田块100亩的全自动水肥精准调控展示区，单产力争较周边大田提高15%，节水节肥2%。</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粮油绿色高效提单产建设项目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标的名称：粮油绿色高效提单产建设项目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2"/>
              </w:rPr>
              <w:t>（一）项目概况</w:t>
            </w:r>
          </w:p>
          <w:p>
            <w:pPr>
              <w:pStyle w:val="null3"/>
              <w:jc w:val="left"/>
            </w:pPr>
            <w:r>
              <w:rPr>
                <w:rFonts w:ascii="仿宋_GB2312" w:hAnsi="仿宋_GB2312" w:cs="仿宋_GB2312" w:eastAsia="仿宋_GB2312"/>
                <w:sz w:val="22"/>
              </w:rPr>
              <w:t>建设</w:t>
            </w:r>
            <w:r>
              <w:rPr>
                <w:rFonts w:ascii="仿宋_GB2312" w:hAnsi="仿宋_GB2312" w:cs="仿宋_GB2312" w:eastAsia="仿宋_GB2312"/>
                <w:sz w:val="22"/>
              </w:rPr>
              <w:t>11</w:t>
            </w:r>
            <w:r>
              <w:rPr>
                <w:rFonts w:ascii="仿宋_GB2312" w:hAnsi="仿宋_GB2312" w:cs="仿宋_GB2312" w:eastAsia="仿宋_GB2312"/>
                <w:sz w:val="22"/>
              </w:rPr>
              <w:t>个单个田块</w:t>
            </w:r>
            <w:r>
              <w:rPr>
                <w:rFonts w:ascii="仿宋_GB2312" w:hAnsi="仿宋_GB2312" w:cs="仿宋_GB2312" w:eastAsia="仿宋_GB2312"/>
                <w:sz w:val="22"/>
              </w:rPr>
              <w:t>100亩水肥精准调控、1个单个田块1</w:t>
            </w:r>
            <w:r>
              <w:rPr>
                <w:rFonts w:ascii="仿宋_GB2312" w:hAnsi="仿宋_GB2312" w:cs="仿宋_GB2312" w:eastAsia="仿宋_GB2312"/>
                <w:sz w:val="22"/>
              </w:rPr>
              <w:t>00</w:t>
            </w:r>
            <w:r>
              <w:rPr>
                <w:rFonts w:ascii="仿宋_GB2312" w:hAnsi="仿宋_GB2312" w:cs="仿宋_GB2312" w:eastAsia="仿宋_GB2312"/>
                <w:sz w:val="22"/>
              </w:rPr>
              <w:t>亩的全自动水肥精准调控展示区，单产力争较周边大田提高</w:t>
            </w:r>
            <w:r>
              <w:rPr>
                <w:rFonts w:ascii="仿宋_GB2312" w:hAnsi="仿宋_GB2312" w:cs="仿宋_GB2312" w:eastAsia="仿宋_GB2312"/>
                <w:sz w:val="22"/>
              </w:rPr>
              <w:t>15%，节水节肥2%</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（二）服务内容</w:t>
            </w:r>
          </w:p>
          <w:p>
            <w:pPr>
              <w:pStyle w:val="null3"/>
              <w:jc w:val="left"/>
            </w:pPr>
            <w:r>
              <w:rPr>
                <w:rFonts w:ascii="仿宋_GB2312" w:hAnsi="仿宋_GB2312" w:cs="仿宋_GB2312" w:eastAsia="仿宋_GB2312"/>
                <w:sz w:val="22"/>
              </w:rPr>
              <w:t>采购大量元素水溶肥</w:t>
            </w:r>
            <w:r>
              <w:rPr>
                <w:rFonts w:ascii="仿宋_GB2312" w:hAnsi="仿宋_GB2312" w:cs="仿宋_GB2312" w:eastAsia="仿宋_GB2312"/>
                <w:sz w:val="22"/>
              </w:rPr>
              <w:t>25吨，符合行业标准NY/T1107-2020 ，氮磷钾含量≥50%；</w:t>
            </w:r>
            <w:r>
              <w:rPr>
                <w:rFonts w:ascii="仿宋_GB2312" w:hAnsi="仿宋_GB2312" w:cs="仿宋_GB2312" w:eastAsia="仿宋_GB2312"/>
                <w:sz w:val="22"/>
              </w:rPr>
              <w:t>建设</w:t>
            </w:r>
            <w:r>
              <w:rPr>
                <w:rFonts w:ascii="仿宋_GB2312" w:hAnsi="仿宋_GB2312" w:cs="仿宋_GB2312" w:eastAsia="仿宋_GB2312"/>
                <w:sz w:val="22"/>
              </w:rPr>
              <w:t>11个单个田块100亩水肥精准调控展示区、1个单个田块100亩的全自动水肥精准调控</w:t>
            </w:r>
            <w:r>
              <w:rPr>
                <w:rFonts w:ascii="仿宋_GB2312" w:hAnsi="仿宋_GB2312" w:cs="仿宋_GB2312" w:eastAsia="仿宋_GB2312"/>
                <w:sz w:val="22"/>
              </w:rPr>
              <w:t>展示区</w:t>
            </w:r>
            <w:r>
              <w:rPr>
                <w:rFonts w:ascii="仿宋_GB2312" w:hAnsi="仿宋_GB2312" w:cs="仿宋_GB2312" w:eastAsia="仿宋_GB2312"/>
                <w:sz w:val="22"/>
              </w:rPr>
              <w:t>，单产力争较周边大田提高</w:t>
            </w:r>
            <w:r>
              <w:rPr>
                <w:rFonts w:ascii="仿宋_GB2312" w:hAnsi="仿宋_GB2312" w:cs="仿宋_GB2312" w:eastAsia="仿宋_GB2312"/>
                <w:sz w:val="22"/>
              </w:rPr>
              <w:t>15%，节水节肥2%</w:t>
            </w:r>
            <w:r>
              <w:rPr>
                <w:rFonts w:ascii="仿宋_GB2312" w:hAnsi="仿宋_GB2312" w:cs="仿宋_GB2312" w:eastAsia="仿宋_GB2312"/>
                <w:sz w:val="22"/>
              </w:rPr>
              <w:t>。</w:t>
            </w:r>
          </w:p>
          <w:p>
            <w:pPr>
              <w:pStyle w:val="null3"/>
              <w:numPr>
                <w:ilvl w:val="0"/>
                <w:numId w:val="1"/>
              </w:numPr>
              <w:jc w:val="both"/>
            </w:pPr>
            <w:r>
              <w:rPr>
                <w:rFonts w:ascii="仿宋_GB2312" w:hAnsi="仿宋_GB2312" w:cs="仿宋_GB2312" w:eastAsia="仿宋_GB2312"/>
                <w:sz w:val="24"/>
                <w:b/>
              </w:rPr>
              <w:t>服务</w:t>
            </w:r>
            <w:r>
              <w:rPr>
                <w:rFonts w:ascii="仿宋_GB2312" w:hAnsi="仿宋_GB2312" w:cs="仿宋_GB2312" w:eastAsia="仿宋_GB2312"/>
                <w:sz w:val="24"/>
                <w:b/>
              </w:rPr>
              <w:t>及</w:t>
            </w:r>
            <w:r>
              <w:rPr>
                <w:rFonts w:ascii="仿宋_GB2312" w:hAnsi="仿宋_GB2312" w:cs="仿宋_GB2312" w:eastAsia="仿宋_GB2312"/>
                <w:sz w:val="24"/>
                <w:b/>
              </w:rPr>
              <w:t>物资采购清单</w:t>
            </w:r>
          </w:p>
          <w:tbl>
            <w:tblPr>
              <w:tblBorders>
                <w:top w:val="none" w:color="000000" w:sz="4"/>
                <w:left w:val="none" w:color="000000" w:sz="4"/>
                <w:bottom w:val="none" w:color="000000" w:sz="4"/>
                <w:right w:val="none" w:color="000000" w:sz="4"/>
                <w:insideH w:val="none"/>
                <w:insideV w:val="none"/>
              </w:tblBorders>
            </w:tblPr>
            <w:tblGrid>
              <w:gridCol w:w="238"/>
              <w:gridCol w:w="654"/>
              <w:gridCol w:w="1110"/>
              <w:gridCol w:w="238"/>
              <w:gridCol w:w="305"/>
            </w:tblGrid>
            <w:tr>
              <w:tc>
                <w:tcPr>
                  <w:tcW w:type="dxa" w:w="238"/>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b/>
                    </w:rPr>
                    <w:t>序号</w:t>
                  </w:r>
                </w:p>
              </w:tc>
              <w:tc>
                <w:tcPr>
                  <w:tcW w:type="dxa" w:w="654"/>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b/>
                    </w:rPr>
                    <w:t>产品</w:t>
                  </w:r>
                </w:p>
              </w:tc>
              <w:tc>
                <w:tcPr>
                  <w:tcW w:type="dxa" w:w="1110"/>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b/>
                    </w:rPr>
                    <w:t>规格</w:t>
                  </w:r>
                </w:p>
              </w:tc>
              <w:tc>
                <w:tcPr>
                  <w:tcW w:type="dxa" w:w="23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b/>
                    </w:rPr>
                    <w:t>单位</w:t>
                  </w:r>
                </w:p>
              </w:tc>
              <w:tc>
                <w:tcPr>
                  <w:tcW w:type="dxa" w:w="305"/>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b/>
                    </w:rPr>
                    <w:t>数量</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大量元素水溶肥</w:t>
                  </w:r>
                  <w:r>
                    <w:rPr>
                      <w:rFonts w:ascii="仿宋_GB2312" w:hAnsi="仿宋_GB2312" w:cs="仿宋_GB2312" w:eastAsia="仿宋_GB2312"/>
                      <w:sz w:val="21"/>
                    </w:rPr>
                    <w:t>★</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吨</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25</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离心网式过滤器</w:t>
                  </w:r>
                  <w:r>
                    <w:rPr>
                      <w:rFonts w:ascii="仿宋_GB2312" w:hAnsi="仿宋_GB2312" w:cs="仿宋_GB2312" w:eastAsia="仿宋_GB2312"/>
                      <w:sz w:val="21"/>
                    </w:rPr>
                    <w:t>★</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台</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施肥搅拌桶</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500L</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台</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注肥泵</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1.5KW</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台</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高压编织水带</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110</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米</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4400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pe水带</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75</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米</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4400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承插弯头</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110</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66</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8</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滴灌管</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16MM管径-1.38L/H流量-0.3M间距</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M</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1360000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9</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水带小三通</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16拉环</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6050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10</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三通阀</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75*110*75</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承插三通</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110</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121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12</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卧式离心泵</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流量：</w:t>
                  </w:r>
                  <w:r>
                    <w:rPr>
                      <w:rFonts w:ascii="仿宋_GB2312" w:hAnsi="仿宋_GB2312" w:cs="仿宋_GB2312" w:eastAsia="仿宋_GB2312"/>
                      <w:sz w:val="20"/>
                    </w:rPr>
                    <w:t>70³/h,扬程：38m</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台</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13</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变频控制柜</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一拖一</w:t>
                  </w:r>
                  <w:r>
                    <w:rPr>
                      <w:rFonts w:ascii="仿宋_GB2312" w:hAnsi="仿宋_GB2312" w:cs="仿宋_GB2312" w:eastAsia="仿宋_GB2312"/>
                      <w:sz w:val="20"/>
                    </w:rPr>
                    <w:t>15.0kw，易驱变频器</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台</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14</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配电柜</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37kw</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台</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15</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室内电缆</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总功率</w:t>
                  </w:r>
                  <w:r>
                    <w:rPr>
                      <w:rFonts w:ascii="仿宋_GB2312" w:hAnsi="仿宋_GB2312" w:cs="仿宋_GB2312" w:eastAsia="仿宋_GB2312"/>
                      <w:sz w:val="20"/>
                    </w:rPr>
                    <w:t>37KW以下</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项</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16</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球形橡胶伸缩节</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17</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涡轮蝶阀带法兰</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18</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空气阀</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19</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单活接球阀</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逆止阀（水泵出口）</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21</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泄压阀</w:t>
                  </w:r>
                  <w:r>
                    <w:rPr>
                      <w:rFonts w:ascii="仿宋_GB2312" w:hAnsi="仿宋_GB2312" w:cs="仿宋_GB2312" w:eastAsia="仿宋_GB2312"/>
                      <w:sz w:val="20"/>
                    </w:rPr>
                    <w:t>-2"</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22</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底阀</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23</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HDPE给水管</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160,1.0MPA</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米</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16</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24</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自动反冲洗砂石过滤器</w:t>
                  </w:r>
                  <w:r>
                    <w:rPr>
                      <w:rFonts w:ascii="仿宋_GB2312" w:hAnsi="仿宋_GB2312" w:cs="仿宋_GB2312" w:eastAsia="仿宋_GB2312"/>
                      <w:sz w:val="21"/>
                    </w:rPr>
                    <w:t>★</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介质过滤器</w:t>
                  </w:r>
                  <w:r>
                    <w:rPr>
                      <w:rFonts w:ascii="仿宋_GB2312" w:hAnsi="仿宋_GB2312" w:cs="仿宋_GB2312" w:eastAsia="仿宋_GB2312"/>
                      <w:sz w:val="20"/>
                    </w:rPr>
                    <w:t>-24"罐体-4罐-4"进出口（Q=100m³/h）</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套</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25</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自动反冲洗碟片过滤器</w:t>
                  </w:r>
                  <w:r>
                    <w:rPr>
                      <w:rFonts w:ascii="仿宋_GB2312" w:hAnsi="仿宋_GB2312" w:cs="仿宋_GB2312" w:eastAsia="仿宋_GB2312"/>
                      <w:sz w:val="21"/>
                    </w:rPr>
                    <w:t>★</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叠片过滤器</w:t>
                  </w:r>
                  <w:r>
                    <w:rPr>
                      <w:rFonts w:ascii="仿宋_GB2312" w:hAnsi="仿宋_GB2312" w:cs="仿宋_GB2312" w:eastAsia="仿宋_GB2312"/>
                      <w:sz w:val="20"/>
                    </w:rPr>
                    <w:t>-3个3寸组合-4寸进出口（Q=100m³/h）</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套</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26</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水表</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台</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27</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减压持压阀</w:t>
                  </w:r>
                  <w:r>
                    <w:rPr>
                      <w:rFonts w:ascii="仿宋_GB2312" w:hAnsi="仿宋_GB2312" w:cs="仿宋_GB2312" w:eastAsia="仿宋_GB2312"/>
                      <w:sz w:val="20"/>
                    </w:rPr>
                    <w:t>承压</w:t>
                  </w:r>
                  <w:r>
                    <w:rPr>
                      <w:rFonts w:ascii="仿宋_GB2312" w:hAnsi="仿宋_GB2312" w:cs="仿宋_GB2312" w:eastAsia="仿宋_GB2312"/>
                      <w:sz w:val="20"/>
                    </w:rPr>
                    <w:t>10公斤</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28</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涡轮蝶阀带法兰</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29</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空气阀</w:t>
                  </w:r>
                  <w:r>
                    <w:rPr>
                      <w:rFonts w:ascii="仿宋_GB2312" w:hAnsi="仿宋_GB2312" w:cs="仿宋_GB2312" w:eastAsia="仿宋_GB2312"/>
                      <w:sz w:val="20"/>
                    </w:rPr>
                    <w:t>-综合型</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30</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单活接球阀</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31</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HDPE管</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110,1.0MPA</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米</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32</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空气阀</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33</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单活接球阀</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34</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HDPE管</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160,0.6MPA</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米</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500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35</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泄水井</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36</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电磁阀直流脉冲电磁头</w:t>
                  </w:r>
                  <w:r>
                    <w:rPr>
                      <w:rFonts w:ascii="仿宋_GB2312" w:hAnsi="仿宋_GB2312" w:cs="仿宋_GB2312" w:eastAsia="仿宋_GB2312"/>
                      <w:sz w:val="21"/>
                    </w:rPr>
                    <w:t>★</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8</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37</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出水口</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38</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真空破坏阀</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8</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39</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单活接球阀</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8</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40</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涡轮蝶阀带法兰</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41</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HDPE管</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110,1.0MPA</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米</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78</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42</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HDPE管</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160,1.0MPA</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米</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6</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43</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预制孔柔性水带</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4寸，预制孔孔距0.6米</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米</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1000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44</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柔性管弯头</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8</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45</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柔性管直接（卡箍直接）</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15</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46</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柔性管直接（胶粘直接）</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47</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柔性管堵头</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4寸</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1000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48</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柔性管旁通</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三通型</w:t>
                  </w:r>
                  <w:r>
                    <w:rPr>
                      <w:rFonts w:ascii="仿宋_GB2312" w:hAnsi="仿宋_GB2312" w:cs="仿宋_GB2312" w:eastAsia="仿宋_GB2312"/>
                      <w:sz w:val="20"/>
                    </w:rPr>
                    <w:t>-16MM拉环*1/2寸阳螺纹*16MM拉环</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500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49</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柔性管旁通</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弯头型</w:t>
                  </w:r>
                  <w:r>
                    <w:rPr>
                      <w:rFonts w:ascii="仿宋_GB2312" w:hAnsi="仿宋_GB2312" w:cs="仿宋_GB2312" w:eastAsia="仿宋_GB2312"/>
                      <w:sz w:val="20"/>
                    </w:rPr>
                    <w:t>-16MM拉环*1/2寸阳螺纹</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2000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50</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拉环直通</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16MM</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500</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51</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施肥机</w:t>
                  </w:r>
                  <w:r>
                    <w:rPr>
                      <w:rFonts w:ascii="仿宋_GB2312" w:hAnsi="仿宋_GB2312" w:cs="仿宋_GB2312" w:eastAsia="仿宋_GB2312"/>
                      <w:sz w:val="21"/>
                    </w:rPr>
                    <w:t>★</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三通道</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台</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52</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无线系统主机模块及远程控制系统</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台</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53</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接地铜棒</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54</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单线</w:t>
                  </w:r>
                  <w:r>
                    <w:rPr>
                      <w:rFonts w:ascii="仿宋_GB2312" w:hAnsi="仿宋_GB2312" w:cs="仿宋_GB2312" w:eastAsia="仿宋_GB2312"/>
                      <w:sz w:val="20"/>
                    </w:rPr>
                    <w:t>RTU</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2站</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个</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4</w:t>
                  </w:r>
                </w:p>
              </w:tc>
            </w:tr>
            <w:tr>
              <w:tc>
                <w:tcPr>
                  <w:tcW w:type="dxa" w:w="238"/>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55</w:t>
                  </w:r>
                </w:p>
              </w:tc>
              <w:tc>
                <w:tcPr>
                  <w:tcW w:type="dxa" w:w="654"/>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肥料搅拌器</w:t>
                  </w:r>
                </w:p>
              </w:tc>
              <w:tc>
                <w:tcPr>
                  <w:tcW w:type="dxa" w:w="1110"/>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1000L</w:t>
                  </w:r>
                </w:p>
              </w:tc>
              <w:tc>
                <w:tcPr>
                  <w:tcW w:type="dxa" w:w="23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套</w:t>
                  </w:r>
                </w:p>
              </w:tc>
              <w:tc>
                <w:tcPr>
                  <w:tcW w:type="dxa" w:w="305"/>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0"/>
                    </w:rPr>
                    <w:t>3</w:t>
                  </w:r>
                </w:p>
              </w:tc>
            </w:tr>
          </w:tbl>
          <w:p>
            <w:pPr>
              <w:pStyle w:val="null3"/>
              <w:jc w:val="both"/>
            </w:pPr>
            <w:r>
              <w:rPr>
                <w:rFonts w:ascii="仿宋_GB2312" w:hAnsi="仿宋_GB2312" w:cs="仿宋_GB2312" w:eastAsia="仿宋_GB2312"/>
                <w:sz w:val="22"/>
                <w:b/>
              </w:rPr>
              <w:t>（四）服务要求</w:t>
            </w:r>
          </w:p>
          <w:p>
            <w:pPr>
              <w:pStyle w:val="null3"/>
              <w:jc w:val="both"/>
            </w:pPr>
            <w:r>
              <w:rPr>
                <w:rFonts w:ascii="仿宋_GB2312" w:hAnsi="仿宋_GB2312" w:cs="仿宋_GB2312" w:eastAsia="仿宋_GB2312"/>
                <w:sz w:val="22"/>
              </w:rPr>
              <w:t>1.水肥精准调控展示区推广膜下滴灌、无膜浅埋滴灌等节水节肥技术，同步一喷三防、一喷多促、化学控旺等高产配套技术。单产提升技术集成展示田围绕小麦宽幅沟播、玉米增密度、大豆玉米复合种植等关键技术开展试验探索与技术集成。</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肥料：所有产品必须符合或优于以下最新版本的国家标准，</w:t>
            </w:r>
          </w:p>
          <w:p>
            <w:pPr>
              <w:pStyle w:val="null3"/>
              <w:jc w:val="both"/>
            </w:pPr>
            <w:r>
              <w:rPr>
                <w:rFonts w:ascii="仿宋_GB2312" w:hAnsi="仿宋_GB2312" w:cs="仿宋_GB2312" w:eastAsia="仿宋_GB2312"/>
                <w:sz w:val="22"/>
              </w:rPr>
              <w:t>1）大量元素水溶肥符合行业标准NY/T1107-2020</w:t>
            </w:r>
            <w:r>
              <w:rPr>
                <w:rFonts w:ascii="仿宋_GB2312" w:hAnsi="仿宋_GB2312" w:cs="仿宋_GB2312" w:eastAsia="仿宋_GB2312"/>
                <w:sz w:val="22"/>
              </w:rPr>
              <w:t xml:space="preserve"> </w:t>
            </w:r>
            <w:r>
              <w:rPr>
                <w:rFonts w:ascii="仿宋_GB2312" w:hAnsi="仿宋_GB2312" w:cs="仿宋_GB2312" w:eastAsia="仿宋_GB2312"/>
                <w:sz w:val="22"/>
              </w:rPr>
              <w:t>，氮磷钾含量</w:t>
            </w:r>
            <w:r>
              <w:rPr>
                <w:rFonts w:ascii="仿宋_GB2312" w:hAnsi="仿宋_GB2312" w:cs="仿宋_GB2312" w:eastAsia="仿宋_GB2312"/>
                <w:sz w:val="22"/>
              </w:rPr>
              <w:t>≥</w:t>
            </w:r>
            <w:r>
              <w:rPr>
                <w:rFonts w:ascii="仿宋_GB2312" w:hAnsi="仿宋_GB2312" w:cs="仿宋_GB2312" w:eastAsia="仿宋_GB2312"/>
                <w:sz w:val="22"/>
              </w:rPr>
              <w:t>50%。</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rPr>
              <w:t>）施肥机符合</w:t>
            </w:r>
            <w:r>
              <w:rPr>
                <w:rFonts w:ascii="仿宋_GB2312" w:hAnsi="仿宋_GB2312" w:cs="仿宋_GB2312" w:eastAsia="仿宋_GB2312"/>
                <w:sz w:val="22"/>
              </w:rPr>
              <w:t>GB 50339-2013。</w:t>
            </w:r>
          </w:p>
          <w:p>
            <w:pPr>
              <w:pStyle w:val="null3"/>
              <w:jc w:val="both"/>
            </w:pPr>
            <w:r>
              <w:rPr>
                <w:rFonts w:ascii="仿宋_GB2312" w:hAnsi="仿宋_GB2312" w:cs="仿宋_GB2312" w:eastAsia="仿宋_GB2312"/>
                <w:sz w:val="22"/>
              </w:rPr>
              <w:t>3）离心泵符合Q/SG 502-2024《单级单吸离心泵》、GB/T 3216-2016《回转动力泵水力性能验收试验1级、2 级、3级》标准。</w:t>
            </w:r>
          </w:p>
          <w:p>
            <w:pPr>
              <w:pStyle w:val="null3"/>
              <w:jc w:val="both"/>
            </w:pPr>
            <w:r>
              <w:rPr>
                <w:rFonts w:ascii="仿宋_GB2312" w:hAnsi="仿宋_GB2312" w:cs="仿宋_GB2312" w:eastAsia="仿宋_GB2312"/>
                <w:sz w:val="22"/>
              </w:rPr>
              <w:t>4）网式过滤器和叠片式过滤器符合GB/T 18690.2—2017</w:t>
            </w:r>
          </w:p>
          <w:p>
            <w:pPr>
              <w:pStyle w:val="null3"/>
              <w:jc w:val="both"/>
            </w:pPr>
            <w:r>
              <w:rPr>
                <w:rFonts w:ascii="仿宋_GB2312" w:hAnsi="仿宋_GB2312" w:cs="仿宋_GB2312" w:eastAsia="仿宋_GB2312"/>
                <w:sz w:val="22"/>
                <w:b/>
              </w:rPr>
              <w:t>三、商务条款及要求</w:t>
            </w:r>
          </w:p>
          <w:p>
            <w:pPr>
              <w:pStyle w:val="null3"/>
              <w:jc w:val="both"/>
            </w:pPr>
            <w:r>
              <w:rPr>
                <w:rFonts w:ascii="仿宋_GB2312" w:hAnsi="仿宋_GB2312" w:cs="仿宋_GB2312" w:eastAsia="仿宋_GB2312"/>
                <w:sz w:val="22"/>
                <w:b/>
              </w:rPr>
              <w:t>（一）服务期限及地点：</w:t>
            </w:r>
          </w:p>
          <w:p>
            <w:pPr>
              <w:pStyle w:val="null3"/>
              <w:jc w:val="both"/>
            </w:pPr>
            <w:r>
              <w:rPr>
                <w:rFonts w:ascii="仿宋_GB2312" w:hAnsi="仿宋_GB2312" w:cs="仿宋_GB2312" w:eastAsia="仿宋_GB2312"/>
                <w:sz w:val="22"/>
              </w:rPr>
              <w:t>1.</w:t>
            </w:r>
            <w:r>
              <w:rPr>
                <w:rFonts w:ascii="仿宋_GB2312" w:hAnsi="仿宋_GB2312" w:cs="仿宋_GB2312" w:eastAsia="仿宋_GB2312"/>
                <w:sz w:val="22"/>
              </w:rPr>
              <w:t>合同履行期限：</w:t>
            </w:r>
            <w:r>
              <w:rPr>
                <w:rFonts w:ascii="仿宋_GB2312" w:hAnsi="仿宋_GB2312" w:cs="仿宋_GB2312" w:eastAsia="仿宋_GB2312"/>
                <w:sz w:val="22"/>
              </w:rPr>
              <w:t>合同签订后</w:t>
            </w:r>
            <w:r>
              <w:rPr>
                <w:rFonts w:ascii="仿宋_GB2312" w:hAnsi="仿宋_GB2312" w:cs="仿宋_GB2312" w:eastAsia="仿宋_GB2312"/>
                <w:sz w:val="22"/>
              </w:rPr>
              <w:t>30</w:t>
            </w:r>
            <w:r>
              <w:rPr>
                <w:rFonts w:ascii="仿宋_GB2312" w:hAnsi="仿宋_GB2312" w:cs="仿宋_GB2312" w:eastAsia="仿宋_GB2312"/>
                <w:sz w:val="22"/>
              </w:rPr>
              <w:t>日历天</w:t>
            </w:r>
            <w:r>
              <w:rPr>
                <w:rFonts w:ascii="仿宋_GB2312" w:hAnsi="仿宋_GB2312" w:cs="仿宋_GB2312" w:eastAsia="仿宋_GB2312"/>
                <w:sz w:val="22"/>
              </w:rPr>
              <w:t>。</w:t>
            </w:r>
            <w:r>
              <w:br/>
            </w:r>
            <w:r>
              <w:rPr>
                <w:rFonts w:ascii="仿宋_GB2312" w:hAnsi="仿宋_GB2312" w:cs="仿宋_GB2312" w:eastAsia="仿宋_GB2312"/>
                <w:sz w:val="22"/>
              </w:rPr>
              <w:t>2.服务地点：采购人指定地点。</w:t>
            </w:r>
          </w:p>
          <w:p>
            <w:pPr>
              <w:pStyle w:val="null3"/>
              <w:jc w:val="both"/>
            </w:pPr>
            <w:r>
              <w:rPr>
                <w:rFonts w:ascii="仿宋_GB2312" w:hAnsi="仿宋_GB2312" w:cs="仿宋_GB2312" w:eastAsia="仿宋_GB2312"/>
                <w:sz w:val="22"/>
                <w:b/>
              </w:rPr>
              <w:t>（二）质量验收标准或规范</w:t>
            </w:r>
          </w:p>
          <w:p>
            <w:pPr>
              <w:pStyle w:val="null3"/>
              <w:ind w:firstLine="220"/>
              <w:jc w:val="both"/>
            </w:pPr>
            <w:r>
              <w:rPr>
                <w:rFonts w:ascii="仿宋_GB2312" w:hAnsi="仿宋_GB2312" w:cs="仿宋_GB2312" w:eastAsia="仿宋_GB2312"/>
                <w:sz w:val="22"/>
              </w:rPr>
              <w:t>符合国家现行技术规范及行业规范标准，地方标准或其他标准规范及要求</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三）按合同要求提供产品或产品质量不能满足采购技术要求，乙方必须无条件更换产品，提高技术，完善质量，否则，甲方会同监督机构、采购代理机构有权终止合同并对乙方违约行为进行追究，同时进行相应的处罚。</w:t>
            </w:r>
          </w:p>
          <w:p>
            <w:pPr>
              <w:pStyle w:val="null3"/>
              <w:jc w:val="both"/>
            </w:pPr>
            <w:r>
              <w:rPr>
                <w:rFonts w:ascii="仿宋_GB2312" w:hAnsi="仿宋_GB2312" w:cs="仿宋_GB2312" w:eastAsia="仿宋_GB2312"/>
                <w:sz w:val="22"/>
              </w:rPr>
              <w:t>（四）任何一方因不可抗力原因不能履行协议时，应尽快通知对方，双方均设法补偿。如仍无法履约协议，可协商延缓或撤销协议，双方责任免除。</w:t>
            </w:r>
          </w:p>
          <w:p>
            <w:pPr>
              <w:pStyle w:val="null3"/>
            </w:pPr>
            <w:r>
              <w:rPr>
                <w:rFonts w:ascii="仿宋_GB2312" w:hAnsi="仿宋_GB2312" w:cs="仿宋_GB2312" w:eastAsia="仿宋_GB2312"/>
                <w:sz w:val="22"/>
                <w:b/>
              </w:rPr>
              <w:t>注：商务要求为实质性要求，不得负偏离。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针对本项目配备相关作业人员，确保按期完成本次服务。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合同签订后，甲方支付乙方项目预付款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正常运行验收合格后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领取成交通知书时，须提交纸质磋商响应文件正本壹份、副本贰份、电子版叁份（U盘），内容和通过电子化交易平台实施的政府采购项目提交的磋商响应文件一致。纸质磋商响应文件编辑目录和页码，正副本分别胶装（磋商响应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类似项目业绩一览表.docx 中小企业声明函 商务应答表 特定资格要求.docx 报价表 响应文件封面 分项报价表.docx 残疾人福利性单位声明函 标的清单 技术响应偏差表.docx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类似项目业绩一览表.docx 中小企业声明函 商务应答表 特定资格要求.docx 报价表 响应文件封面 分项报价表.docx 残疾人福利性单位声明函 标的清单 技术响应偏差表.docx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类似项目业绩一览表.docx 中小企业声明函 商务应答表 特定资格要求.docx 报价表 响应文件封面 分项报价表.docx 残疾人福利性单位声明函 标的清单 技术响应偏差表.docx 响应函 服务方案.docx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具有独立承担民事责任能力的法人或自然人，提供合法有效的统一社会信用代码营业执照（自然人应提供身份证）。</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三个月的纳税证明或完税证明，依法免税的单位应提供相关证明材料；②社会保障资金缴纳证明：提供截止至开标时间前一年内至今至少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肥料须提供所投产品有效期内的肥料登记证或农业农村部登记备案证明，经销代理商的提供生产厂家的肥料登记证或农业农村部登记备案证明材料；</w:t>
            </w:r>
          </w:p>
        </w:tc>
        <w:tc>
          <w:tcPr>
            <w:tcW w:type="dxa" w:w="1661"/>
          </w:tcPr>
          <w:p>
            <w:pPr>
              <w:pStyle w:val="null3"/>
            </w:pPr>
            <w:r>
              <w:rPr>
                <w:rFonts w:ascii="仿宋_GB2312" w:hAnsi="仿宋_GB2312" w:cs="仿宋_GB2312" w:eastAsia="仿宋_GB2312"/>
              </w:rPr>
              <w:t>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本次项目不接受联合体投标（提供非联合体声明）。</w:t>
            </w:r>
          </w:p>
        </w:tc>
        <w:tc>
          <w:tcPr>
            <w:tcW w:type="dxa" w:w="1661"/>
          </w:tcPr>
          <w:p>
            <w:pPr>
              <w:pStyle w:val="null3"/>
            </w:pPr>
            <w:r>
              <w:rPr>
                <w:rFonts w:ascii="仿宋_GB2312" w:hAnsi="仿宋_GB2312" w:cs="仿宋_GB2312" w:eastAsia="仿宋_GB2312"/>
              </w:rPr>
              <w:t>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法定代表人或其授权代表人的签字或盖章齐全并加盖公章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供应商针对本项目提供的实施方案包含:①项目实施计划；②服务流程；③服务质量；④作业进度安排； 二、评分标准：以上评审内容切合本项目实际情况及实施要求，内容与要点相符、每个要点均有展开详细的阐述且能够适用于本项目的计20分；评审内容任意一项缺项扣5分，扣完为止；评审内容任意一项有缺陷扣1.5-4.5分。 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人员组织配备情况</w:t>
            </w:r>
          </w:p>
        </w:tc>
        <w:tc>
          <w:tcPr>
            <w:tcW w:type="dxa" w:w="2492"/>
          </w:tcPr>
          <w:p>
            <w:pPr>
              <w:pStyle w:val="null3"/>
            </w:pPr>
            <w:r>
              <w:rPr>
                <w:rFonts w:ascii="仿宋_GB2312" w:hAnsi="仿宋_GB2312" w:cs="仿宋_GB2312" w:eastAsia="仿宋_GB2312"/>
              </w:rPr>
              <w:t>一、评审内容： 供应商针对本项目的组织管理机构设置包含：①人员分工、岗位职责的合理安排②相关工作人员需具备相应的资格证书，持证上岗，结合人员资格证书、从业年限、工作经验等因素进行评审。 二、评分标准： 以上评审内容全面、合理，切合本项目实际情况及实施要求，内容与要点相符、每个要点均有展开详细的阐述且能够适用于本项目的计6分；评审内容任意一项缺项扣3分，扣完为止；评审内容任意一项有缺陷扣0.5-2.5分。 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一、评审内容：针对本项目提供质量保证措施内容包括但不限于①质量管理措施；②质量控制方案；③质量管理体系④产品质量保证措施； 二、评分标准：以上评审内容根据产品的相关质量、质量保证、来源渠道和证明材料，切合本项目实际情况及实施要求，内容与要点相符、每个要点均有展开详细的阐述且能够适用于本项目的计12分；评审内容任意一项缺项扣3分，扣完为止；评审内容任意一项有缺陷扣1.0-2.5分。 未提供方案或只有标题没有实质性内容的不得分。 “缺陷”指内容明显错误，或内容不完整或缺少关键点，或不适用本项目特性、套用其他项目内容或内容不能满足本项目实际需求等情形。 注:标★产品质量证明材料包括但不限于产品厂家授权/代理协议/质量检验报告、产品介绍、彩页等证明材料。</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服务进度保证措施</w:t>
            </w:r>
          </w:p>
        </w:tc>
        <w:tc>
          <w:tcPr>
            <w:tcW w:type="dxa" w:w="2492"/>
          </w:tcPr>
          <w:p>
            <w:pPr>
              <w:pStyle w:val="null3"/>
            </w:pPr>
            <w:r>
              <w:rPr>
                <w:rFonts w:ascii="仿宋_GB2312" w:hAnsi="仿宋_GB2312" w:cs="仿宋_GB2312" w:eastAsia="仿宋_GB2312"/>
              </w:rPr>
              <w:t>一、评审内容： 供应商针对本项目提供的服务进度保证措施包含：①总体进度安排②服务进度保证措施。 二、评审标准：以上评审内容详细能结合本项目实际情况，合理有效，内容完善、可行性强，每个要点均有展开详细的阐述且能够适用于本项目的计8分； 评审内容任意一项缺项扣4分，扣完为止；评审内容任意一项有缺陷扣1.5-3.5分。未提供方案或只有标题没有实质性内容的不得分。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一、评审内容： 供应商针对本项目实施提供的应急处置方案及对服务过程中突发状况的应急处理措施。 二、评标标准 以上评审内容详细能结合本项目实际情况，合理有效，内容完善、可行性强，每个要点均有展开详细的阐述且能够适用于本项目的计3分； 评审内容有缺陷扣0.5-2.5分。未提供方案或只有标题没有实质性内容的不得分。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安全保障方案及措施</w:t>
            </w:r>
          </w:p>
        </w:tc>
        <w:tc>
          <w:tcPr>
            <w:tcW w:type="dxa" w:w="2492"/>
          </w:tcPr>
          <w:p>
            <w:pPr>
              <w:pStyle w:val="null3"/>
            </w:pPr>
            <w:r>
              <w:rPr>
                <w:rFonts w:ascii="仿宋_GB2312" w:hAnsi="仿宋_GB2312" w:cs="仿宋_GB2312" w:eastAsia="仿宋_GB2312"/>
              </w:rPr>
              <w:t>一、评审内容： 供应商针对本项目提供的安全方案及措施包含：①作业过程方案②安全保障措施。 二、评审标准：以上评审内容详细能结合本项目实际情况，合理有效，内容完善、可行性强，每个要点均有展开详细的阐述且能够适用于本项目的计8分； 评审内容任意一项缺项扣4分，扣完为止；评审内容任意一项有缺陷扣1.0-3.0分。未提供方案或只有标题没有实质性内容的不得分。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服务承诺和合理化建议</w:t>
            </w:r>
          </w:p>
        </w:tc>
        <w:tc>
          <w:tcPr>
            <w:tcW w:type="dxa" w:w="2492"/>
          </w:tcPr>
          <w:p>
            <w:pPr>
              <w:pStyle w:val="null3"/>
            </w:pPr>
            <w:r>
              <w:rPr>
                <w:rFonts w:ascii="仿宋_GB2312" w:hAnsi="仿宋_GB2312" w:cs="仿宋_GB2312" w:eastAsia="仿宋_GB2312"/>
              </w:rPr>
              <w:t>一、评审内容： 供应商提供针对本项目的服务承诺和合理化建议，包含①服务承诺方案②其他实质性承诺③合理化建议。 二、评审标准：以上评审内容详细能结合本项目实际情况，合理有效，内容完善、可行性强，每个要点均有展开详细的阐述且能够适用于本项目的计9分；评审内容任意一项缺项扣3分，扣完为止；评审内容有缺陷扣1.0-2.5分。未提供方案或只有标题没有实质性内容的不得分。 “缺陷”指内容明显错误，或内容不完整或缺少关键点，或不适用本项目特性、套用其他项目内容或内容不能满足本项目实际需求等情形。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供应商针对本项目及采购人实际需要，提供详细具体可行的售后服务方案包含：①合理的售后服务流程②故障响应及处理机制③定期巡检及技术交流。 二、评审标准：以上评审内容切合本项目实际情况及实施要求，内容与要点相符、每个要点均有展开详细的阐述且能够适用于本项目的计12分；评审内容任意一项缺项扣4分，扣完为止；评审内容任意一项有缺陷扣1.0-2.5分。未提供方案或只有标题没有实质性内容的不得分。“缺陷”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提供2022年8月1日至今类似项目业绩（类似业绩指农业技术推广、农作物统防统治、农资一体化供应等相关服务的合同），每提供一个得1分，满分2分。 注：供应商需提供合同（含服务内容、签字盖章页）复印件或扫描件加盖供应商公章以合同签订日期为准，否则业绩不予认可。</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1、经初审合格的磋商响应文件，其投标报价为有效投标价。 2、有效最低报价为基准价得20分。 3、报价得分=（有效最低报价/有效投标报价）×20。 4、投标报价不完整的，不进入评标基准价的计算，本项得0分。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详见附件：特定资格要求.docx</w:t>
      </w:r>
    </w:p>
    <w:p>
      <w:pPr>
        <w:pStyle w:val="null3"/>
        <w:ind w:firstLine="960"/>
      </w:pPr>
      <w:r>
        <w:rPr>
          <w:rFonts w:ascii="仿宋_GB2312" w:hAnsi="仿宋_GB2312" w:cs="仿宋_GB2312" w:eastAsia="仿宋_GB2312"/>
        </w:rPr>
        <w:t>详见附件：技术响应偏差表.docx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