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71537">
      <w:pPr>
        <w:pStyle w:val="2"/>
        <w:bidi w:val="0"/>
        <w:outlineLvl w:val="0"/>
        <w:rPr>
          <w:rFonts w:hint="eastAsia"/>
          <w:spacing w:val="0"/>
        </w:rPr>
      </w:pPr>
      <w:r>
        <w:rPr>
          <w:rFonts w:hint="eastAsia"/>
          <w:spacing w:val="0"/>
        </w:rPr>
        <w:t>政府采购合同格式</w:t>
      </w:r>
    </w:p>
    <w:p w14:paraId="60470EC6">
      <w:pPr>
        <w:pStyle w:val="9"/>
        <w:spacing w:beforeLines="100" w:line="360" w:lineRule="auto"/>
        <w:ind w:firstLine="420"/>
        <w:jc w:val="center"/>
        <w:outlineLvl w:val="9"/>
        <w:rPr>
          <w:rFonts w:ascii="宋体" w:hAnsi="宋体"/>
          <w:color w:val="auto"/>
          <w:spacing w:val="0"/>
          <w:sz w:val="21"/>
          <w:szCs w:val="21"/>
        </w:rPr>
      </w:pPr>
      <w:r>
        <w:rPr>
          <w:rFonts w:hint="eastAsia" w:ascii="宋体" w:hAnsi="宋体"/>
          <w:color w:val="auto"/>
          <w:spacing w:val="0"/>
          <w:sz w:val="21"/>
          <w:szCs w:val="21"/>
        </w:rPr>
        <w:t>（注：本合同为示范文本，最终以甲乙双方签订的合同为准）</w:t>
      </w:r>
    </w:p>
    <w:p w14:paraId="5D74956B">
      <w:pPr>
        <w:pStyle w:val="9"/>
        <w:spacing w:beforeLines="100"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 xml:space="preserve">合同编号： </w:t>
      </w:r>
    </w:p>
    <w:p w14:paraId="65107962">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 xml:space="preserve">签订地点： </w:t>
      </w:r>
    </w:p>
    <w:p w14:paraId="73482D95">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签订时间:</w:t>
      </w:r>
    </w:p>
    <w:p w14:paraId="02A4A592">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采购人（甲方）：</w:t>
      </w:r>
    </w:p>
    <w:p w14:paraId="59540F53">
      <w:pPr>
        <w:pStyle w:val="9"/>
        <w:spacing w:line="360" w:lineRule="auto"/>
        <w:ind w:firstLine="420"/>
        <w:outlineLvl w:val="9"/>
        <w:rPr>
          <w:rFonts w:ascii="宋体" w:hAnsi="宋体"/>
          <w:color w:val="auto"/>
          <w:spacing w:val="0"/>
          <w:sz w:val="21"/>
          <w:szCs w:val="21"/>
        </w:rPr>
      </w:pPr>
      <w:r>
        <w:rPr>
          <w:rFonts w:hint="eastAsia" w:ascii="宋体" w:hAnsi="宋体"/>
          <w:color w:val="auto"/>
          <w:spacing w:val="0"/>
          <w:sz w:val="21"/>
          <w:szCs w:val="21"/>
        </w:rPr>
        <w:t>投标人（乙方）：</w:t>
      </w:r>
    </w:p>
    <w:p w14:paraId="35C63A2E">
      <w:pPr>
        <w:spacing w:line="360" w:lineRule="auto"/>
        <w:ind w:firstLine="444" w:firstLineChars="200"/>
        <w:outlineLvl w:val="9"/>
        <w:rPr>
          <w:rFonts w:ascii="宋体" w:hAnsi="宋体" w:cs="宋体"/>
          <w:color w:val="auto"/>
          <w:spacing w:val="0"/>
          <w:szCs w:val="21"/>
        </w:rPr>
      </w:pPr>
      <w:r>
        <w:rPr>
          <w:rFonts w:hint="eastAsia" w:ascii="宋体" w:hAnsi="宋体" w:cs="宋体"/>
          <w:color w:val="auto"/>
          <w:spacing w:val="6"/>
          <w:sz w:val="21"/>
          <w:szCs w:val="21"/>
        </w:rPr>
        <w:t>根据《中华人民共和国政府采购法》及实施条例、《中华人民共和国民法典》和甲方</w:t>
      </w:r>
      <w:r>
        <w:rPr>
          <w:rFonts w:hint="eastAsia" w:ascii="宋体" w:hAnsi="宋体" w:cs="宋体"/>
          <w:color w:val="auto"/>
          <w:spacing w:val="6"/>
          <w:sz w:val="21"/>
          <w:szCs w:val="21"/>
          <w:u w:val="single"/>
          <w:lang w:val="en-US" w:eastAsia="zh-CN"/>
        </w:rPr>
        <w:t xml:space="preserve">        </w:t>
      </w:r>
      <w:r>
        <w:rPr>
          <w:rFonts w:hint="eastAsia" w:ascii="宋体" w:hAnsi="宋体" w:cs="宋体"/>
          <w:color w:val="auto"/>
          <w:spacing w:val="0"/>
          <w:szCs w:val="21"/>
          <w:u w:val="single"/>
          <w:lang w:eastAsia="zh-CN"/>
        </w:rPr>
        <w:t>（</w:t>
      </w:r>
      <w:r>
        <w:rPr>
          <w:rFonts w:hint="eastAsia" w:ascii="宋体" w:hAnsi="宋体" w:cs="宋体"/>
          <w:color w:val="auto"/>
          <w:spacing w:val="0"/>
          <w:szCs w:val="21"/>
          <w:u w:val="single"/>
          <w:lang w:val="en-US" w:eastAsia="zh-CN"/>
        </w:rPr>
        <w:t>项目名称</w:t>
      </w:r>
      <w:r>
        <w:rPr>
          <w:rFonts w:hint="eastAsia" w:ascii="宋体" w:hAnsi="宋体" w:cs="宋体"/>
          <w:color w:val="auto"/>
          <w:spacing w:val="0"/>
          <w:szCs w:val="21"/>
          <w:u w:val="single"/>
          <w:lang w:eastAsia="zh-CN"/>
        </w:rPr>
        <w:t>）</w:t>
      </w:r>
      <w:r>
        <w:rPr>
          <w:rFonts w:hint="eastAsia" w:ascii="宋体" w:hAnsi="宋体" w:cs="宋体"/>
          <w:color w:val="auto"/>
          <w:spacing w:val="0"/>
          <w:szCs w:val="21"/>
        </w:rPr>
        <w:t>（采购项目编号：</w:t>
      </w:r>
      <w:r>
        <w:rPr>
          <w:rFonts w:hint="eastAsia" w:ascii="宋体" w:hAnsi="宋体" w:eastAsia="宋体" w:cs="宋体"/>
          <w:color w:val="auto"/>
          <w:spacing w:val="0"/>
          <w:sz w:val="21"/>
          <w:szCs w:val="21"/>
          <w:u w:val="single"/>
          <w:lang w:val="en-US" w:eastAsia="zh-CN"/>
        </w:rPr>
        <w:t xml:space="preserve">           </w:t>
      </w:r>
      <w:r>
        <w:rPr>
          <w:rFonts w:hint="eastAsia" w:ascii="宋体" w:hAnsi="宋体" w:cs="宋体"/>
          <w:color w:val="auto"/>
          <w:spacing w:val="0"/>
          <w:szCs w:val="21"/>
        </w:rPr>
        <w:t>）的招标文件、投标文件等有关规定，为确保甲方采购项目的顺利实施，甲、乙双方在平等自愿原则下签订本合同，并共同遵守如下条款：</w:t>
      </w:r>
    </w:p>
    <w:p w14:paraId="412C6E71">
      <w:pPr>
        <w:pStyle w:val="9"/>
        <w:spacing w:line="360" w:lineRule="auto"/>
        <w:ind w:firstLine="423" w:firstLineChars="176"/>
        <w:outlineLvl w:val="9"/>
        <w:rPr>
          <w:rFonts w:ascii="宋体" w:hAnsi="宋体"/>
          <w:b/>
          <w:color w:val="auto"/>
          <w:spacing w:val="0"/>
        </w:rPr>
      </w:pPr>
      <w:r>
        <w:rPr>
          <w:rFonts w:hint="eastAsia" w:ascii="宋体" w:hAnsi="宋体"/>
          <w:b/>
          <w:color w:val="auto"/>
          <w:spacing w:val="0"/>
        </w:rPr>
        <w:t>第一条 合同标的及数量</w:t>
      </w:r>
    </w:p>
    <w:p w14:paraId="5874896E">
      <w:pPr>
        <w:spacing w:line="360" w:lineRule="auto"/>
        <w:ind w:firstLine="420" w:firstLineChars="200"/>
        <w:outlineLvl w:val="9"/>
        <w:rPr>
          <w:rFonts w:ascii="宋体" w:hAnsi="宋体" w:cs="宋体"/>
          <w:b/>
          <w:color w:val="auto"/>
          <w:spacing w:val="0"/>
          <w:szCs w:val="21"/>
        </w:rPr>
      </w:pPr>
      <w:r>
        <w:rPr>
          <w:rFonts w:hint="eastAsia" w:ascii="宋体" w:hAnsi="宋体" w:cs="宋体"/>
          <w:color w:val="auto"/>
          <w:spacing w:val="0"/>
          <w:szCs w:val="21"/>
        </w:rPr>
        <w:t>乙方向甲方提供下列</w:t>
      </w:r>
      <w:r>
        <w:rPr>
          <w:rFonts w:hint="eastAsia" w:ascii="宋体" w:hAnsi="宋体" w:eastAsia="宋体" w:cs="宋体"/>
          <w:color w:val="auto"/>
          <w:spacing w:val="0"/>
          <w:szCs w:val="21"/>
          <w:lang w:val="en-US" w:eastAsia="zh-CN"/>
        </w:rPr>
        <w:t>物资</w:t>
      </w:r>
      <w:r>
        <w:rPr>
          <w:rFonts w:hint="eastAsia" w:ascii="宋体" w:hAnsi="宋体" w:cs="宋体"/>
          <w:color w:val="auto"/>
          <w:spacing w:val="0"/>
          <w:szCs w:val="21"/>
        </w:rPr>
        <w:t>：</w:t>
      </w:r>
    </w:p>
    <w:p w14:paraId="65B0475A">
      <w:pPr>
        <w:jc w:val="center"/>
        <w:outlineLvl w:val="9"/>
        <w:rPr>
          <w:rFonts w:ascii="宋体" w:hAnsi="宋体" w:cs="宋体"/>
          <w:b/>
          <w:color w:val="auto"/>
          <w:spacing w:val="0"/>
          <w:sz w:val="32"/>
        </w:rPr>
      </w:pPr>
      <w:r>
        <w:rPr>
          <w:rFonts w:hint="eastAsia" w:ascii="宋体" w:hAnsi="宋体" w:eastAsia="宋体" w:cs="宋体"/>
          <w:b/>
          <w:color w:val="auto"/>
          <w:spacing w:val="0"/>
          <w:sz w:val="32"/>
          <w:lang w:val="en-US" w:eastAsia="zh-CN"/>
        </w:rPr>
        <w:t>物资</w:t>
      </w:r>
      <w:r>
        <w:rPr>
          <w:rFonts w:hint="eastAsia" w:ascii="宋体" w:hAnsi="宋体" w:cs="宋体"/>
          <w:b/>
          <w:color w:val="auto"/>
          <w:spacing w:val="0"/>
          <w:sz w:val="32"/>
        </w:rPr>
        <w:t>一览表</w:t>
      </w:r>
    </w:p>
    <w:tbl>
      <w:tblPr>
        <w:tblStyle w:val="7"/>
        <w:tblpPr w:leftFromText="180" w:rightFromText="180" w:vertAnchor="text" w:horzAnchor="margin" w:tblpY="309"/>
        <w:tblW w:w="860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64"/>
        <w:gridCol w:w="1604"/>
        <w:gridCol w:w="1552"/>
        <w:gridCol w:w="706"/>
        <w:gridCol w:w="892"/>
        <w:gridCol w:w="1189"/>
        <w:gridCol w:w="1092"/>
        <w:gridCol w:w="1005"/>
      </w:tblGrid>
      <w:tr w14:paraId="45FE53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564" w:type="dxa"/>
            <w:vAlign w:val="center"/>
          </w:tcPr>
          <w:p w14:paraId="35B90832">
            <w:pPr>
              <w:jc w:val="center"/>
              <w:outlineLvl w:val="9"/>
              <w:rPr>
                <w:rFonts w:ascii="宋体" w:hAnsi="宋体" w:cs="宋体"/>
                <w:color w:val="auto"/>
                <w:spacing w:val="0"/>
                <w:szCs w:val="21"/>
              </w:rPr>
            </w:pPr>
            <w:r>
              <w:rPr>
                <w:rFonts w:hint="eastAsia" w:ascii="宋体" w:hAnsi="宋体" w:cs="宋体"/>
                <w:color w:val="auto"/>
                <w:spacing w:val="0"/>
                <w:szCs w:val="21"/>
              </w:rPr>
              <w:t>序号</w:t>
            </w:r>
          </w:p>
        </w:tc>
        <w:tc>
          <w:tcPr>
            <w:tcW w:w="1604" w:type="dxa"/>
            <w:vAlign w:val="center"/>
          </w:tcPr>
          <w:p w14:paraId="7DF187C3">
            <w:pPr>
              <w:jc w:val="center"/>
              <w:outlineLvl w:val="9"/>
              <w:rPr>
                <w:rFonts w:ascii="宋体" w:hAnsi="宋体" w:cs="宋体"/>
                <w:color w:val="auto"/>
                <w:spacing w:val="0"/>
                <w:szCs w:val="21"/>
              </w:rPr>
            </w:pPr>
            <w:r>
              <w:rPr>
                <w:rFonts w:hint="eastAsia" w:ascii="宋体" w:hAnsi="宋体"/>
                <w:color w:val="auto"/>
                <w:spacing w:val="0"/>
                <w:sz w:val="21"/>
                <w:szCs w:val="21"/>
                <w:lang w:val="en-US" w:eastAsia="zh-CN"/>
              </w:rPr>
              <w:t>物资</w:t>
            </w:r>
            <w:r>
              <w:rPr>
                <w:rFonts w:hint="eastAsia" w:ascii="宋体" w:hAnsi="宋体" w:cs="宋体"/>
                <w:color w:val="auto"/>
                <w:spacing w:val="0"/>
                <w:szCs w:val="21"/>
              </w:rPr>
              <w:t>名称</w:t>
            </w:r>
          </w:p>
        </w:tc>
        <w:tc>
          <w:tcPr>
            <w:tcW w:w="1552" w:type="dxa"/>
            <w:vAlign w:val="center"/>
          </w:tcPr>
          <w:p w14:paraId="55D85D2D">
            <w:pPr>
              <w:jc w:val="center"/>
              <w:outlineLvl w:val="9"/>
              <w:rPr>
                <w:rFonts w:ascii="宋体" w:hAnsi="宋体" w:cs="宋体"/>
                <w:color w:val="auto"/>
                <w:spacing w:val="0"/>
                <w:szCs w:val="21"/>
              </w:rPr>
            </w:pPr>
            <w:r>
              <w:rPr>
                <w:rFonts w:hint="eastAsia" w:ascii="宋体" w:hAnsi="宋体" w:cs="宋体"/>
                <w:color w:val="auto"/>
                <w:spacing w:val="0"/>
                <w:szCs w:val="21"/>
              </w:rPr>
              <w:t>品牌/型号</w:t>
            </w:r>
          </w:p>
        </w:tc>
        <w:tc>
          <w:tcPr>
            <w:tcW w:w="706" w:type="dxa"/>
            <w:vAlign w:val="center"/>
          </w:tcPr>
          <w:p w14:paraId="2E737A99">
            <w:pPr>
              <w:jc w:val="center"/>
              <w:outlineLvl w:val="9"/>
              <w:rPr>
                <w:rFonts w:ascii="宋体" w:hAnsi="宋体" w:cs="宋体"/>
                <w:color w:val="auto"/>
                <w:spacing w:val="0"/>
                <w:szCs w:val="21"/>
              </w:rPr>
            </w:pPr>
            <w:r>
              <w:rPr>
                <w:rFonts w:hint="eastAsia" w:ascii="宋体" w:hAnsi="宋体" w:cs="宋体"/>
                <w:color w:val="auto"/>
                <w:spacing w:val="0"/>
                <w:szCs w:val="21"/>
              </w:rPr>
              <w:t>规格</w:t>
            </w:r>
          </w:p>
        </w:tc>
        <w:tc>
          <w:tcPr>
            <w:tcW w:w="892" w:type="dxa"/>
            <w:vAlign w:val="center"/>
          </w:tcPr>
          <w:p w14:paraId="4EE9872F">
            <w:pPr>
              <w:jc w:val="center"/>
              <w:outlineLvl w:val="9"/>
              <w:rPr>
                <w:rFonts w:ascii="宋体" w:hAnsi="宋体" w:cs="宋体"/>
                <w:color w:val="auto"/>
                <w:spacing w:val="0"/>
                <w:szCs w:val="21"/>
              </w:rPr>
            </w:pPr>
            <w:r>
              <w:rPr>
                <w:rFonts w:hint="eastAsia" w:ascii="宋体" w:hAnsi="宋体" w:cs="宋体"/>
                <w:color w:val="auto"/>
                <w:spacing w:val="0"/>
                <w:szCs w:val="21"/>
              </w:rPr>
              <w:t>计量</w:t>
            </w:r>
          </w:p>
          <w:p w14:paraId="29D520D4">
            <w:pPr>
              <w:jc w:val="center"/>
              <w:outlineLvl w:val="9"/>
              <w:rPr>
                <w:rFonts w:ascii="宋体" w:hAnsi="宋体" w:cs="宋体"/>
                <w:color w:val="auto"/>
                <w:spacing w:val="0"/>
                <w:szCs w:val="21"/>
              </w:rPr>
            </w:pPr>
            <w:r>
              <w:rPr>
                <w:rFonts w:hint="eastAsia" w:ascii="宋体" w:hAnsi="宋体" w:cs="宋体"/>
                <w:color w:val="auto"/>
                <w:spacing w:val="0"/>
                <w:szCs w:val="21"/>
              </w:rPr>
              <w:t>单位</w:t>
            </w:r>
          </w:p>
        </w:tc>
        <w:tc>
          <w:tcPr>
            <w:tcW w:w="1189" w:type="dxa"/>
            <w:tcBorders>
              <w:bottom w:val="single" w:color="auto" w:sz="4" w:space="0"/>
            </w:tcBorders>
            <w:vAlign w:val="center"/>
          </w:tcPr>
          <w:p w14:paraId="7FB1A1F2">
            <w:pPr>
              <w:jc w:val="center"/>
              <w:outlineLvl w:val="9"/>
              <w:rPr>
                <w:rFonts w:ascii="宋体" w:hAnsi="宋体" w:cs="宋体"/>
                <w:color w:val="auto"/>
                <w:spacing w:val="0"/>
                <w:szCs w:val="21"/>
              </w:rPr>
            </w:pPr>
            <w:r>
              <w:rPr>
                <w:rFonts w:hint="eastAsia" w:ascii="宋体" w:hAnsi="宋体" w:cs="宋体"/>
                <w:color w:val="auto"/>
                <w:spacing w:val="0"/>
                <w:szCs w:val="21"/>
              </w:rPr>
              <w:t>数量</w:t>
            </w:r>
          </w:p>
        </w:tc>
        <w:tc>
          <w:tcPr>
            <w:tcW w:w="1092" w:type="dxa"/>
            <w:vAlign w:val="center"/>
          </w:tcPr>
          <w:p w14:paraId="622374FA">
            <w:pPr>
              <w:jc w:val="center"/>
              <w:outlineLvl w:val="9"/>
              <w:rPr>
                <w:rFonts w:hint="eastAsia" w:ascii="宋体" w:hAnsi="宋体" w:cs="宋体"/>
                <w:color w:val="auto"/>
                <w:spacing w:val="0"/>
                <w:szCs w:val="21"/>
              </w:rPr>
            </w:pPr>
            <w:r>
              <w:rPr>
                <w:rFonts w:hint="eastAsia" w:ascii="宋体" w:hAnsi="宋体" w:cs="宋体"/>
                <w:color w:val="auto"/>
                <w:spacing w:val="0"/>
                <w:szCs w:val="21"/>
              </w:rPr>
              <w:t>单价</w:t>
            </w:r>
          </w:p>
          <w:p w14:paraId="343F1025">
            <w:pPr>
              <w:jc w:val="center"/>
              <w:outlineLvl w:val="9"/>
              <w:rPr>
                <w:rFonts w:ascii="宋体" w:hAnsi="宋体" w:cs="宋体"/>
                <w:color w:val="auto"/>
                <w:spacing w:val="0"/>
                <w:szCs w:val="21"/>
              </w:rPr>
            </w:pPr>
            <w:r>
              <w:rPr>
                <w:rFonts w:hint="eastAsia" w:ascii="宋体" w:hAnsi="宋体" w:cs="宋体"/>
                <w:color w:val="auto"/>
                <w:spacing w:val="0"/>
                <w:szCs w:val="21"/>
              </w:rPr>
              <w:t>（元）</w:t>
            </w:r>
          </w:p>
        </w:tc>
        <w:tc>
          <w:tcPr>
            <w:tcW w:w="1005" w:type="dxa"/>
            <w:vAlign w:val="center"/>
          </w:tcPr>
          <w:p w14:paraId="44565A40">
            <w:pPr>
              <w:jc w:val="center"/>
              <w:outlineLvl w:val="9"/>
              <w:rPr>
                <w:rFonts w:hint="eastAsia" w:ascii="宋体" w:hAnsi="宋体" w:cs="宋体"/>
                <w:color w:val="auto"/>
                <w:spacing w:val="0"/>
                <w:szCs w:val="21"/>
              </w:rPr>
            </w:pPr>
            <w:r>
              <w:rPr>
                <w:rFonts w:hint="eastAsia" w:ascii="宋体" w:hAnsi="宋体" w:cs="宋体"/>
                <w:color w:val="auto"/>
                <w:spacing w:val="0"/>
                <w:szCs w:val="21"/>
              </w:rPr>
              <w:t>金额</w:t>
            </w:r>
          </w:p>
          <w:p w14:paraId="53AF75C3">
            <w:pPr>
              <w:jc w:val="center"/>
              <w:outlineLvl w:val="9"/>
              <w:rPr>
                <w:rFonts w:ascii="宋体" w:hAnsi="宋体" w:cs="宋体"/>
                <w:color w:val="auto"/>
                <w:spacing w:val="0"/>
                <w:szCs w:val="21"/>
              </w:rPr>
            </w:pPr>
            <w:r>
              <w:rPr>
                <w:rFonts w:hint="eastAsia" w:ascii="宋体" w:hAnsi="宋体" w:cs="宋体"/>
                <w:color w:val="auto"/>
                <w:spacing w:val="0"/>
                <w:szCs w:val="21"/>
              </w:rPr>
              <w:t>(元)</w:t>
            </w:r>
          </w:p>
        </w:tc>
      </w:tr>
      <w:tr w14:paraId="428A59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05F0FA6A">
            <w:pPr>
              <w:jc w:val="center"/>
              <w:outlineLvl w:val="9"/>
              <w:rPr>
                <w:rFonts w:ascii="宋体" w:hAnsi="宋体" w:cs="宋体"/>
                <w:color w:val="auto"/>
                <w:spacing w:val="0"/>
                <w:sz w:val="24"/>
              </w:rPr>
            </w:pPr>
          </w:p>
        </w:tc>
        <w:tc>
          <w:tcPr>
            <w:tcW w:w="1604" w:type="dxa"/>
            <w:vAlign w:val="center"/>
          </w:tcPr>
          <w:p w14:paraId="701DD3D3">
            <w:pPr>
              <w:jc w:val="center"/>
              <w:outlineLvl w:val="9"/>
              <w:rPr>
                <w:rFonts w:ascii="宋体" w:hAnsi="宋体" w:cs="宋体"/>
                <w:color w:val="auto"/>
                <w:spacing w:val="0"/>
                <w:sz w:val="24"/>
              </w:rPr>
            </w:pPr>
          </w:p>
        </w:tc>
        <w:tc>
          <w:tcPr>
            <w:tcW w:w="1552" w:type="dxa"/>
            <w:vAlign w:val="center"/>
          </w:tcPr>
          <w:p w14:paraId="678117C0">
            <w:pPr>
              <w:jc w:val="center"/>
              <w:outlineLvl w:val="9"/>
              <w:rPr>
                <w:rFonts w:ascii="宋体" w:hAnsi="宋体" w:cs="宋体"/>
                <w:color w:val="auto"/>
                <w:spacing w:val="0"/>
                <w:sz w:val="24"/>
              </w:rPr>
            </w:pPr>
          </w:p>
        </w:tc>
        <w:tc>
          <w:tcPr>
            <w:tcW w:w="706" w:type="dxa"/>
            <w:vAlign w:val="center"/>
          </w:tcPr>
          <w:p w14:paraId="2D9E5A44">
            <w:pPr>
              <w:jc w:val="center"/>
              <w:outlineLvl w:val="9"/>
              <w:rPr>
                <w:rFonts w:ascii="宋体" w:hAnsi="宋体" w:cs="宋体"/>
                <w:color w:val="auto"/>
                <w:spacing w:val="0"/>
                <w:sz w:val="24"/>
              </w:rPr>
            </w:pPr>
          </w:p>
        </w:tc>
        <w:tc>
          <w:tcPr>
            <w:tcW w:w="892" w:type="dxa"/>
            <w:tcBorders>
              <w:right w:val="single" w:color="auto" w:sz="4" w:space="0"/>
            </w:tcBorders>
            <w:vAlign w:val="center"/>
          </w:tcPr>
          <w:p w14:paraId="4F8170C9">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03ED2357">
            <w:pPr>
              <w:jc w:val="center"/>
              <w:outlineLvl w:val="9"/>
              <w:rPr>
                <w:rFonts w:ascii="宋体" w:hAnsi="宋体" w:cs="宋体"/>
                <w:color w:val="auto"/>
                <w:spacing w:val="0"/>
                <w:sz w:val="24"/>
              </w:rPr>
            </w:pPr>
          </w:p>
        </w:tc>
        <w:tc>
          <w:tcPr>
            <w:tcW w:w="1092" w:type="dxa"/>
            <w:tcBorders>
              <w:left w:val="single" w:color="auto" w:sz="4" w:space="0"/>
            </w:tcBorders>
            <w:vAlign w:val="center"/>
          </w:tcPr>
          <w:p w14:paraId="2EA854D9">
            <w:pPr>
              <w:jc w:val="center"/>
              <w:outlineLvl w:val="9"/>
              <w:rPr>
                <w:rFonts w:ascii="宋体" w:hAnsi="宋体" w:cs="宋体"/>
                <w:color w:val="auto"/>
                <w:spacing w:val="0"/>
                <w:sz w:val="24"/>
              </w:rPr>
            </w:pPr>
          </w:p>
        </w:tc>
        <w:tc>
          <w:tcPr>
            <w:tcW w:w="1005" w:type="dxa"/>
            <w:vAlign w:val="center"/>
          </w:tcPr>
          <w:p w14:paraId="29F9F0C9">
            <w:pPr>
              <w:jc w:val="center"/>
              <w:outlineLvl w:val="9"/>
              <w:rPr>
                <w:rFonts w:ascii="宋体" w:hAnsi="宋体" w:cs="宋体"/>
                <w:color w:val="auto"/>
                <w:spacing w:val="0"/>
                <w:sz w:val="24"/>
              </w:rPr>
            </w:pPr>
          </w:p>
        </w:tc>
      </w:tr>
      <w:tr w14:paraId="492224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492CF4E7">
            <w:pPr>
              <w:jc w:val="center"/>
              <w:outlineLvl w:val="9"/>
              <w:rPr>
                <w:rFonts w:ascii="宋体" w:hAnsi="宋体" w:cs="宋体"/>
                <w:color w:val="auto"/>
                <w:spacing w:val="0"/>
                <w:sz w:val="24"/>
              </w:rPr>
            </w:pPr>
          </w:p>
        </w:tc>
        <w:tc>
          <w:tcPr>
            <w:tcW w:w="1604" w:type="dxa"/>
            <w:vAlign w:val="center"/>
          </w:tcPr>
          <w:p w14:paraId="30BC8952">
            <w:pPr>
              <w:jc w:val="center"/>
              <w:outlineLvl w:val="9"/>
              <w:rPr>
                <w:rFonts w:ascii="宋体" w:hAnsi="宋体" w:cs="宋体"/>
                <w:color w:val="auto"/>
                <w:spacing w:val="0"/>
                <w:sz w:val="24"/>
              </w:rPr>
            </w:pPr>
          </w:p>
        </w:tc>
        <w:tc>
          <w:tcPr>
            <w:tcW w:w="1552" w:type="dxa"/>
            <w:vAlign w:val="center"/>
          </w:tcPr>
          <w:p w14:paraId="5C4A4414">
            <w:pPr>
              <w:jc w:val="center"/>
              <w:outlineLvl w:val="9"/>
              <w:rPr>
                <w:rFonts w:ascii="宋体" w:hAnsi="宋体" w:cs="宋体"/>
                <w:color w:val="auto"/>
                <w:spacing w:val="0"/>
                <w:sz w:val="24"/>
              </w:rPr>
            </w:pPr>
          </w:p>
        </w:tc>
        <w:tc>
          <w:tcPr>
            <w:tcW w:w="706" w:type="dxa"/>
            <w:vAlign w:val="center"/>
          </w:tcPr>
          <w:p w14:paraId="4A1C6A3F">
            <w:pPr>
              <w:jc w:val="center"/>
              <w:outlineLvl w:val="9"/>
              <w:rPr>
                <w:rFonts w:ascii="宋体" w:hAnsi="宋体" w:cs="宋体"/>
                <w:color w:val="auto"/>
                <w:spacing w:val="0"/>
                <w:sz w:val="24"/>
              </w:rPr>
            </w:pPr>
          </w:p>
        </w:tc>
        <w:tc>
          <w:tcPr>
            <w:tcW w:w="892" w:type="dxa"/>
            <w:tcBorders>
              <w:right w:val="single" w:color="auto" w:sz="4" w:space="0"/>
            </w:tcBorders>
            <w:vAlign w:val="center"/>
          </w:tcPr>
          <w:p w14:paraId="2A04E592">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3AED2CFD">
            <w:pPr>
              <w:jc w:val="center"/>
              <w:outlineLvl w:val="9"/>
              <w:rPr>
                <w:rFonts w:ascii="宋体" w:hAnsi="宋体" w:cs="宋体"/>
                <w:color w:val="auto"/>
                <w:spacing w:val="0"/>
                <w:sz w:val="24"/>
              </w:rPr>
            </w:pPr>
          </w:p>
        </w:tc>
        <w:tc>
          <w:tcPr>
            <w:tcW w:w="1092" w:type="dxa"/>
            <w:tcBorders>
              <w:left w:val="single" w:color="auto" w:sz="4" w:space="0"/>
            </w:tcBorders>
            <w:vAlign w:val="center"/>
          </w:tcPr>
          <w:p w14:paraId="0268A35C">
            <w:pPr>
              <w:jc w:val="center"/>
              <w:outlineLvl w:val="9"/>
              <w:rPr>
                <w:rFonts w:ascii="宋体" w:hAnsi="宋体" w:cs="宋体"/>
                <w:color w:val="auto"/>
                <w:spacing w:val="0"/>
                <w:sz w:val="24"/>
              </w:rPr>
            </w:pPr>
          </w:p>
        </w:tc>
        <w:tc>
          <w:tcPr>
            <w:tcW w:w="1005" w:type="dxa"/>
            <w:vAlign w:val="center"/>
          </w:tcPr>
          <w:p w14:paraId="266FA9E3">
            <w:pPr>
              <w:jc w:val="center"/>
              <w:outlineLvl w:val="9"/>
              <w:rPr>
                <w:rFonts w:ascii="宋体" w:hAnsi="宋体" w:cs="宋体"/>
                <w:color w:val="auto"/>
                <w:spacing w:val="0"/>
                <w:sz w:val="24"/>
              </w:rPr>
            </w:pPr>
          </w:p>
        </w:tc>
      </w:tr>
      <w:tr w14:paraId="36DD6C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14B5F530">
            <w:pPr>
              <w:jc w:val="center"/>
              <w:outlineLvl w:val="9"/>
              <w:rPr>
                <w:rFonts w:ascii="宋体" w:hAnsi="宋体" w:cs="宋体"/>
                <w:color w:val="auto"/>
                <w:spacing w:val="0"/>
                <w:sz w:val="24"/>
              </w:rPr>
            </w:pPr>
          </w:p>
        </w:tc>
        <w:tc>
          <w:tcPr>
            <w:tcW w:w="1604" w:type="dxa"/>
            <w:vAlign w:val="center"/>
          </w:tcPr>
          <w:p w14:paraId="1A41D57D">
            <w:pPr>
              <w:jc w:val="center"/>
              <w:outlineLvl w:val="9"/>
              <w:rPr>
                <w:rFonts w:ascii="宋体" w:hAnsi="宋体" w:cs="宋体"/>
                <w:color w:val="auto"/>
                <w:spacing w:val="0"/>
                <w:sz w:val="24"/>
              </w:rPr>
            </w:pPr>
          </w:p>
        </w:tc>
        <w:tc>
          <w:tcPr>
            <w:tcW w:w="1552" w:type="dxa"/>
            <w:vAlign w:val="center"/>
          </w:tcPr>
          <w:p w14:paraId="242089BB">
            <w:pPr>
              <w:jc w:val="center"/>
              <w:outlineLvl w:val="9"/>
              <w:rPr>
                <w:rFonts w:ascii="宋体" w:hAnsi="宋体" w:cs="宋体"/>
                <w:color w:val="auto"/>
                <w:spacing w:val="0"/>
                <w:sz w:val="24"/>
              </w:rPr>
            </w:pPr>
          </w:p>
        </w:tc>
        <w:tc>
          <w:tcPr>
            <w:tcW w:w="706" w:type="dxa"/>
            <w:vAlign w:val="center"/>
          </w:tcPr>
          <w:p w14:paraId="7C6804EC">
            <w:pPr>
              <w:jc w:val="center"/>
              <w:outlineLvl w:val="9"/>
              <w:rPr>
                <w:rFonts w:ascii="宋体" w:hAnsi="宋体" w:cs="宋体"/>
                <w:color w:val="auto"/>
                <w:spacing w:val="0"/>
                <w:sz w:val="24"/>
              </w:rPr>
            </w:pPr>
          </w:p>
        </w:tc>
        <w:tc>
          <w:tcPr>
            <w:tcW w:w="892" w:type="dxa"/>
            <w:tcBorders>
              <w:right w:val="single" w:color="auto" w:sz="4" w:space="0"/>
            </w:tcBorders>
            <w:vAlign w:val="center"/>
          </w:tcPr>
          <w:p w14:paraId="36D7F609">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552140C1">
            <w:pPr>
              <w:jc w:val="center"/>
              <w:outlineLvl w:val="9"/>
              <w:rPr>
                <w:rFonts w:ascii="宋体" w:hAnsi="宋体" w:cs="宋体"/>
                <w:color w:val="auto"/>
                <w:spacing w:val="0"/>
                <w:sz w:val="24"/>
              </w:rPr>
            </w:pPr>
          </w:p>
        </w:tc>
        <w:tc>
          <w:tcPr>
            <w:tcW w:w="1092" w:type="dxa"/>
            <w:tcBorders>
              <w:left w:val="single" w:color="auto" w:sz="4" w:space="0"/>
            </w:tcBorders>
            <w:vAlign w:val="center"/>
          </w:tcPr>
          <w:p w14:paraId="026C7055">
            <w:pPr>
              <w:jc w:val="center"/>
              <w:outlineLvl w:val="9"/>
              <w:rPr>
                <w:rFonts w:ascii="宋体" w:hAnsi="宋体" w:cs="宋体"/>
                <w:color w:val="auto"/>
                <w:spacing w:val="0"/>
                <w:sz w:val="24"/>
              </w:rPr>
            </w:pPr>
          </w:p>
        </w:tc>
        <w:tc>
          <w:tcPr>
            <w:tcW w:w="1005" w:type="dxa"/>
            <w:vAlign w:val="center"/>
          </w:tcPr>
          <w:p w14:paraId="290CBDCE">
            <w:pPr>
              <w:jc w:val="center"/>
              <w:outlineLvl w:val="9"/>
              <w:rPr>
                <w:rFonts w:ascii="宋体" w:hAnsi="宋体" w:cs="宋体"/>
                <w:color w:val="auto"/>
                <w:spacing w:val="0"/>
                <w:sz w:val="24"/>
              </w:rPr>
            </w:pPr>
          </w:p>
        </w:tc>
      </w:tr>
      <w:tr w14:paraId="352D56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564" w:type="dxa"/>
            <w:vAlign w:val="center"/>
          </w:tcPr>
          <w:p w14:paraId="4AF5E4C5">
            <w:pPr>
              <w:jc w:val="center"/>
              <w:outlineLvl w:val="9"/>
              <w:rPr>
                <w:rFonts w:ascii="宋体" w:hAnsi="宋体" w:cs="宋体"/>
                <w:color w:val="auto"/>
                <w:spacing w:val="0"/>
                <w:sz w:val="24"/>
              </w:rPr>
            </w:pPr>
          </w:p>
        </w:tc>
        <w:tc>
          <w:tcPr>
            <w:tcW w:w="1604" w:type="dxa"/>
            <w:vAlign w:val="center"/>
          </w:tcPr>
          <w:p w14:paraId="34DB5882">
            <w:pPr>
              <w:jc w:val="center"/>
              <w:outlineLvl w:val="9"/>
              <w:rPr>
                <w:rFonts w:ascii="宋体" w:hAnsi="宋体" w:cs="宋体"/>
                <w:color w:val="auto"/>
                <w:spacing w:val="0"/>
                <w:sz w:val="24"/>
              </w:rPr>
            </w:pPr>
          </w:p>
        </w:tc>
        <w:tc>
          <w:tcPr>
            <w:tcW w:w="1552" w:type="dxa"/>
            <w:vAlign w:val="center"/>
          </w:tcPr>
          <w:p w14:paraId="5BB54BA8">
            <w:pPr>
              <w:jc w:val="center"/>
              <w:outlineLvl w:val="9"/>
              <w:rPr>
                <w:rFonts w:ascii="宋体" w:hAnsi="宋体" w:cs="宋体"/>
                <w:color w:val="auto"/>
                <w:spacing w:val="0"/>
                <w:sz w:val="24"/>
              </w:rPr>
            </w:pPr>
          </w:p>
        </w:tc>
        <w:tc>
          <w:tcPr>
            <w:tcW w:w="706" w:type="dxa"/>
            <w:vAlign w:val="center"/>
          </w:tcPr>
          <w:p w14:paraId="78AC8687">
            <w:pPr>
              <w:jc w:val="center"/>
              <w:outlineLvl w:val="9"/>
              <w:rPr>
                <w:rFonts w:ascii="宋体" w:hAnsi="宋体" w:cs="宋体"/>
                <w:color w:val="auto"/>
                <w:spacing w:val="0"/>
                <w:sz w:val="24"/>
              </w:rPr>
            </w:pPr>
          </w:p>
        </w:tc>
        <w:tc>
          <w:tcPr>
            <w:tcW w:w="892" w:type="dxa"/>
            <w:tcBorders>
              <w:right w:val="single" w:color="auto" w:sz="4" w:space="0"/>
            </w:tcBorders>
            <w:vAlign w:val="center"/>
          </w:tcPr>
          <w:p w14:paraId="151E498E">
            <w:pPr>
              <w:jc w:val="center"/>
              <w:outlineLvl w:val="9"/>
              <w:rPr>
                <w:rFonts w:ascii="宋体" w:hAnsi="宋体" w:cs="宋体"/>
                <w:color w:val="auto"/>
                <w:spacing w:val="0"/>
                <w:sz w:val="24"/>
              </w:rPr>
            </w:pPr>
          </w:p>
        </w:tc>
        <w:tc>
          <w:tcPr>
            <w:tcW w:w="1189" w:type="dxa"/>
            <w:tcBorders>
              <w:top w:val="single" w:color="auto" w:sz="4" w:space="0"/>
              <w:left w:val="single" w:color="auto" w:sz="4" w:space="0"/>
              <w:bottom w:val="single" w:color="auto" w:sz="4" w:space="0"/>
              <w:right w:val="single" w:color="auto" w:sz="4" w:space="0"/>
            </w:tcBorders>
            <w:vAlign w:val="center"/>
          </w:tcPr>
          <w:p w14:paraId="7F9271C8">
            <w:pPr>
              <w:jc w:val="center"/>
              <w:outlineLvl w:val="9"/>
              <w:rPr>
                <w:rFonts w:ascii="宋体" w:hAnsi="宋体" w:cs="宋体"/>
                <w:color w:val="auto"/>
                <w:spacing w:val="0"/>
                <w:sz w:val="24"/>
              </w:rPr>
            </w:pPr>
          </w:p>
        </w:tc>
        <w:tc>
          <w:tcPr>
            <w:tcW w:w="1092" w:type="dxa"/>
            <w:tcBorders>
              <w:left w:val="single" w:color="auto" w:sz="4" w:space="0"/>
            </w:tcBorders>
            <w:vAlign w:val="center"/>
          </w:tcPr>
          <w:p w14:paraId="6BA387FF">
            <w:pPr>
              <w:jc w:val="center"/>
              <w:outlineLvl w:val="9"/>
              <w:rPr>
                <w:rFonts w:ascii="宋体" w:hAnsi="宋体" w:cs="宋体"/>
                <w:color w:val="auto"/>
                <w:spacing w:val="0"/>
                <w:sz w:val="24"/>
              </w:rPr>
            </w:pPr>
          </w:p>
        </w:tc>
        <w:tc>
          <w:tcPr>
            <w:tcW w:w="1005" w:type="dxa"/>
            <w:vAlign w:val="center"/>
          </w:tcPr>
          <w:p w14:paraId="201F68DB">
            <w:pPr>
              <w:jc w:val="center"/>
              <w:outlineLvl w:val="9"/>
              <w:rPr>
                <w:rFonts w:ascii="宋体" w:hAnsi="宋体" w:cs="宋体"/>
                <w:color w:val="auto"/>
                <w:spacing w:val="0"/>
                <w:sz w:val="24"/>
              </w:rPr>
            </w:pPr>
          </w:p>
        </w:tc>
      </w:tr>
      <w:tr w14:paraId="6B6186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564" w:type="dxa"/>
            <w:tcBorders>
              <w:bottom w:val="single" w:color="auto" w:sz="12" w:space="0"/>
            </w:tcBorders>
          </w:tcPr>
          <w:p w14:paraId="5BA16ACF">
            <w:pPr>
              <w:outlineLvl w:val="9"/>
              <w:rPr>
                <w:rFonts w:ascii="宋体" w:hAnsi="宋体" w:cs="宋体"/>
                <w:color w:val="auto"/>
                <w:spacing w:val="0"/>
                <w:sz w:val="24"/>
              </w:rPr>
            </w:pPr>
          </w:p>
        </w:tc>
        <w:tc>
          <w:tcPr>
            <w:tcW w:w="1604" w:type="dxa"/>
            <w:tcBorders>
              <w:bottom w:val="single" w:color="auto" w:sz="12" w:space="0"/>
            </w:tcBorders>
            <w:vAlign w:val="center"/>
          </w:tcPr>
          <w:p w14:paraId="0171DD17">
            <w:pPr>
              <w:jc w:val="center"/>
              <w:outlineLvl w:val="9"/>
              <w:rPr>
                <w:rFonts w:ascii="宋体" w:hAnsi="宋体" w:cs="宋体"/>
                <w:color w:val="auto"/>
                <w:spacing w:val="0"/>
                <w:sz w:val="24"/>
              </w:rPr>
            </w:pPr>
            <w:r>
              <w:rPr>
                <w:rFonts w:hint="eastAsia" w:ascii="宋体" w:hAnsi="宋体" w:cs="宋体"/>
                <w:color w:val="auto"/>
                <w:spacing w:val="0"/>
                <w:szCs w:val="21"/>
              </w:rPr>
              <w:t>合计</w:t>
            </w:r>
          </w:p>
        </w:tc>
        <w:tc>
          <w:tcPr>
            <w:tcW w:w="4339" w:type="dxa"/>
            <w:gridSpan w:val="4"/>
            <w:tcBorders>
              <w:bottom w:val="single" w:color="auto" w:sz="12" w:space="0"/>
              <w:right w:val="single" w:color="auto" w:sz="4" w:space="0"/>
            </w:tcBorders>
            <w:vAlign w:val="center"/>
          </w:tcPr>
          <w:p w14:paraId="6E23B21B">
            <w:pPr>
              <w:outlineLvl w:val="9"/>
              <w:rPr>
                <w:rFonts w:ascii="宋体" w:hAnsi="宋体" w:cs="宋体"/>
                <w:color w:val="auto"/>
                <w:spacing w:val="0"/>
                <w:sz w:val="24"/>
              </w:rPr>
            </w:pPr>
            <w:r>
              <w:rPr>
                <w:rFonts w:hint="eastAsia" w:ascii="宋体" w:hAnsi="宋体" w:cs="宋体"/>
                <w:color w:val="auto"/>
                <w:spacing w:val="0"/>
                <w:szCs w:val="21"/>
              </w:rPr>
              <w:t xml:space="preserve">  大写</w:t>
            </w:r>
          </w:p>
        </w:tc>
        <w:tc>
          <w:tcPr>
            <w:tcW w:w="2097" w:type="dxa"/>
            <w:gridSpan w:val="2"/>
            <w:tcBorders>
              <w:top w:val="single" w:color="auto" w:sz="4" w:space="0"/>
              <w:left w:val="single" w:color="auto" w:sz="4" w:space="0"/>
              <w:bottom w:val="single" w:color="auto" w:sz="12" w:space="0"/>
            </w:tcBorders>
            <w:vAlign w:val="center"/>
          </w:tcPr>
          <w:p w14:paraId="433C80AE">
            <w:pPr>
              <w:outlineLvl w:val="9"/>
              <w:rPr>
                <w:rFonts w:ascii="宋体" w:hAnsi="宋体" w:cs="宋体"/>
                <w:color w:val="auto"/>
                <w:spacing w:val="0"/>
                <w:sz w:val="24"/>
              </w:rPr>
            </w:pPr>
            <w:r>
              <w:rPr>
                <w:rFonts w:hint="eastAsia" w:ascii="宋体" w:hAnsi="宋体" w:cs="宋体"/>
                <w:color w:val="auto"/>
                <w:spacing w:val="0"/>
                <w:szCs w:val="21"/>
              </w:rPr>
              <w:t xml:space="preserve">   ￥</w:t>
            </w:r>
          </w:p>
        </w:tc>
      </w:tr>
    </w:tbl>
    <w:p w14:paraId="2E592752">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hint="eastAsia" w:ascii="宋体" w:hAnsi="宋体"/>
          <w:b/>
          <w:color w:val="auto"/>
          <w:spacing w:val="0"/>
        </w:rPr>
      </w:pPr>
    </w:p>
    <w:p w14:paraId="6CE83D63">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第二条 合同价款</w:t>
      </w:r>
    </w:p>
    <w:p w14:paraId="67E20053">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1.合同总价：人民币（大写）</w:t>
      </w:r>
      <w:r>
        <w:rPr>
          <w:rFonts w:hint="eastAsia" w:ascii="宋体" w:hAnsi="宋体" w:cs="宋体"/>
          <w:color w:val="auto"/>
          <w:spacing w:val="0"/>
          <w:szCs w:val="21"/>
          <w:u w:val="single"/>
        </w:rPr>
        <w:t xml:space="preserve">                 </w:t>
      </w:r>
      <w:r>
        <w:rPr>
          <w:rFonts w:hint="eastAsia" w:ascii="宋体" w:hAnsi="宋体" w:cs="宋体"/>
          <w:color w:val="auto"/>
          <w:spacing w:val="0"/>
          <w:szCs w:val="21"/>
        </w:rPr>
        <w:t xml:space="preserve"> 元，（￥</w:t>
      </w:r>
      <w:r>
        <w:rPr>
          <w:rFonts w:hint="eastAsia" w:ascii="宋体" w:hAnsi="宋体" w:cs="宋体"/>
          <w:color w:val="auto"/>
          <w:spacing w:val="0"/>
          <w:szCs w:val="21"/>
          <w:u w:val="single"/>
        </w:rPr>
        <w:t xml:space="preserve">           </w:t>
      </w:r>
      <w:r>
        <w:rPr>
          <w:rFonts w:hint="eastAsia" w:ascii="宋体" w:hAnsi="宋体" w:cs="宋体"/>
          <w:color w:val="auto"/>
          <w:spacing w:val="0"/>
          <w:szCs w:val="21"/>
        </w:rPr>
        <w:t xml:space="preserve"> ）。</w:t>
      </w:r>
    </w:p>
    <w:p w14:paraId="6D43743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2.本合同总价是</w:t>
      </w:r>
      <w:r>
        <w:rPr>
          <w:rFonts w:hint="eastAsia" w:ascii="宋体" w:hAnsi="宋体" w:eastAsia="宋体" w:cs="宋体"/>
          <w:color w:val="auto"/>
          <w:spacing w:val="0"/>
          <w:szCs w:val="21"/>
          <w:lang w:val="en-US" w:eastAsia="zh-CN"/>
        </w:rPr>
        <w:t>物资</w:t>
      </w:r>
      <w:r>
        <w:rPr>
          <w:rFonts w:hint="eastAsia" w:ascii="宋体" w:hAnsi="宋体" w:cs="宋体"/>
          <w:color w:val="auto"/>
          <w:spacing w:val="0"/>
          <w:szCs w:val="21"/>
        </w:rPr>
        <w:t>、包装、运输、交货、验收合格交付使用的含税费用。</w:t>
      </w:r>
    </w:p>
    <w:p w14:paraId="4318D42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3.本合同总价还包含乙方应当提供的伴随服务和售后服务费用。</w:t>
      </w:r>
    </w:p>
    <w:p w14:paraId="1EFDEEE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4.本合同执行期间合同总价不变，甲方无须另向乙方支付本合同规定之外的其他任何费用。</w:t>
      </w:r>
    </w:p>
    <w:p w14:paraId="3EC7A7CE">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第三条 合同款项支付</w:t>
      </w:r>
    </w:p>
    <w:p w14:paraId="2136A8C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lang w:val="en-US" w:eastAsia="zh-CN"/>
        </w:rPr>
        <w:t>以银行转账方式结算。所有产品供货服务完成后，中标方需开具合法合规的有效发票给采购人，待财政资金到位后采购人一次性向中标方付清合同款项（注：本项目费用由财政拨付，如因不可抗力、政府原因或政策影响等因素导致款项未能按合同约定时效、比例支付的，甲方不承担违约责任，乙方不得以此为由拒绝履行合同约定的责任和义务）。</w:t>
      </w:r>
    </w:p>
    <w:p w14:paraId="76E2470A">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第四条 交货时间与地点</w:t>
      </w:r>
    </w:p>
    <w:p w14:paraId="3423CADB">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乙方在合同签订生效之日起，按甲方指定时间、地点交货。</w:t>
      </w:r>
    </w:p>
    <w:p w14:paraId="418A5EAC">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1.交货时间（交货期）：</w:t>
      </w:r>
    </w:p>
    <w:p w14:paraId="47D130CE">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自合同签订之日起</w:t>
      </w:r>
      <w:r>
        <w:rPr>
          <w:rFonts w:hint="eastAsia" w:ascii="宋体" w:hAnsi="宋体"/>
          <w:color w:val="auto"/>
          <w:spacing w:val="0"/>
          <w:szCs w:val="21"/>
          <w:u w:val="single"/>
        </w:rPr>
        <w:t xml:space="preserve">      </w:t>
      </w:r>
      <w:r>
        <w:rPr>
          <w:rFonts w:hint="eastAsia" w:ascii="宋体" w:hAnsi="宋体" w:cs="宋体"/>
          <w:color w:val="auto"/>
          <w:spacing w:val="0"/>
          <w:szCs w:val="21"/>
        </w:rPr>
        <w:t>日历天内完成。</w:t>
      </w:r>
    </w:p>
    <w:p w14:paraId="630DF373">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2.交货地点：甲方指定地点</w:t>
      </w:r>
    </w:p>
    <w:p w14:paraId="4676F38C">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第五条 质量保证</w:t>
      </w:r>
    </w:p>
    <w:p w14:paraId="321AAA90">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1.乙方须提供全新的、未使用过的合格正品</w:t>
      </w:r>
      <w:r>
        <w:rPr>
          <w:rFonts w:hint="eastAsia" w:ascii="宋体" w:hAnsi="宋体" w:eastAsia="宋体"/>
          <w:color w:val="auto"/>
          <w:spacing w:val="0"/>
          <w:sz w:val="21"/>
          <w:szCs w:val="21"/>
          <w:lang w:val="en-US" w:eastAsia="zh-CN"/>
        </w:rPr>
        <w:t>物资</w:t>
      </w:r>
      <w:r>
        <w:rPr>
          <w:rFonts w:hint="eastAsia" w:ascii="宋体" w:hAnsi="宋体"/>
          <w:color w:val="auto"/>
          <w:spacing w:val="0"/>
          <w:sz w:val="21"/>
          <w:szCs w:val="21"/>
        </w:rPr>
        <w:t>，完全符合合同规定的质量、规格和性能的要求。</w:t>
      </w:r>
    </w:p>
    <w:p w14:paraId="49DF498B">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2.质量标准按照最新颁布的国家标准、行业标准或制造商企业标准确定，上述标准不一致的，以严格标准为准。</w:t>
      </w:r>
    </w:p>
    <w:p w14:paraId="624E0694">
      <w:pPr>
        <w:pStyle w:val="9"/>
        <w:keepNext w:val="0"/>
        <w:keepLines w:val="0"/>
        <w:pageBreakBefore w:val="0"/>
        <w:widowControl/>
        <w:kinsoku w:val="0"/>
        <w:wordWrap/>
        <w:overflowPunct/>
        <w:topLinePunct w:val="0"/>
        <w:autoSpaceDE w:val="0"/>
        <w:autoSpaceDN w:val="0"/>
        <w:bidi w:val="0"/>
        <w:adjustRightInd/>
        <w:snapToGrid/>
        <w:spacing w:line="360" w:lineRule="auto"/>
        <w:ind w:firstLine="525" w:firstLineChars="250"/>
        <w:textAlignment w:val="baseline"/>
        <w:outlineLvl w:val="9"/>
        <w:rPr>
          <w:rFonts w:ascii="宋体" w:hAnsi="宋体"/>
          <w:color w:val="auto"/>
          <w:spacing w:val="0"/>
          <w:sz w:val="21"/>
          <w:szCs w:val="21"/>
        </w:rPr>
      </w:pPr>
      <w:r>
        <w:rPr>
          <w:rFonts w:hint="eastAsia" w:ascii="宋体" w:hAnsi="宋体"/>
          <w:color w:val="auto"/>
          <w:spacing w:val="0"/>
          <w:sz w:val="21"/>
          <w:szCs w:val="21"/>
        </w:rPr>
        <w:t>3.</w:t>
      </w:r>
      <w:r>
        <w:rPr>
          <w:rFonts w:hint="eastAsia" w:ascii="宋体" w:hAnsi="宋体" w:eastAsia="宋体"/>
          <w:color w:val="auto"/>
          <w:spacing w:val="0"/>
          <w:sz w:val="21"/>
          <w:szCs w:val="21"/>
          <w:lang w:val="en-US" w:eastAsia="zh-CN"/>
        </w:rPr>
        <w:t>物资</w:t>
      </w:r>
      <w:r>
        <w:rPr>
          <w:rFonts w:hint="eastAsia" w:ascii="宋体" w:hAnsi="宋体"/>
          <w:color w:val="auto"/>
          <w:spacing w:val="0"/>
          <w:sz w:val="21"/>
          <w:szCs w:val="21"/>
        </w:rPr>
        <w:t>质量出现问题，乙方应负责三包（包修、包换、包退），费用由乙方负担，甲方有权到乙方生产场地检查</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质量和生产进度。</w:t>
      </w:r>
    </w:p>
    <w:p w14:paraId="16BB133E">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第六条 权利保证</w:t>
      </w:r>
    </w:p>
    <w:p w14:paraId="3B51CFD0">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1.乙方保证对其出售的</w:t>
      </w:r>
      <w:r>
        <w:rPr>
          <w:rFonts w:hint="eastAsia" w:ascii="宋体" w:hAnsi="宋体" w:eastAsia="宋体" w:cs="宋体"/>
          <w:color w:val="auto"/>
          <w:spacing w:val="0"/>
          <w:szCs w:val="21"/>
          <w:lang w:val="en-US" w:eastAsia="zh-CN"/>
        </w:rPr>
        <w:t>物资</w:t>
      </w:r>
      <w:r>
        <w:rPr>
          <w:rFonts w:hint="eastAsia" w:ascii="宋体" w:hAnsi="宋体" w:cs="宋体"/>
          <w:color w:val="auto"/>
          <w:spacing w:val="0"/>
          <w:szCs w:val="21"/>
        </w:rPr>
        <w:t>享有合法的权利。</w:t>
      </w:r>
    </w:p>
    <w:p w14:paraId="2BEB5B4D">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2.乙方保证对其出售的</w:t>
      </w:r>
      <w:r>
        <w:rPr>
          <w:rFonts w:hint="eastAsia" w:ascii="宋体" w:hAnsi="宋体" w:eastAsia="宋体" w:cs="宋体"/>
          <w:color w:val="auto"/>
          <w:spacing w:val="0"/>
          <w:szCs w:val="21"/>
          <w:lang w:val="en-US" w:eastAsia="zh-CN"/>
        </w:rPr>
        <w:t>物资</w:t>
      </w:r>
      <w:r>
        <w:rPr>
          <w:rFonts w:hint="eastAsia" w:ascii="宋体" w:hAnsi="宋体" w:cs="宋体"/>
          <w:color w:val="auto"/>
          <w:spacing w:val="0"/>
          <w:szCs w:val="21"/>
        </w:rPr>
        <w:t>有合法来源。</w:t>
      </w:r>
    </w:p>
    <w:p w14:paraId="7DAFFFC6">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3.乙方保证对其出售的</w:t>
      </w:r>
      <w:r>
        <w:rPr>
          <w:rFonts w:hint="eastAsia" w:ascii="宋体" w:hAnsi="宋体" w:eastAsia="宋体" w:cs="宋体"/>
          <w:color w:val="auto"/>
          <w:spacing w:val="0"/>
          <w:szCs w:val="21"/>
          <w:lang w:val="en-US" w:eastAsia="zh-CN"/>
        </w:rPr>
        <w:t>物资</w:t>
      </w:r>
      <w:r>
        <w:rPr>
          <w:rFonts w:hint="eastAsia" w:ascii="宋体" w:hAnsi="宋体" w:cs="宋体"/>
          <w:color w:val="auto"/>
          <w:spacing w:val="0"/>
          <w:szCs w:val="21"/>
        </w:rPr>
        <w:t>没有侵犯第三方的专利权、版权、商标权或其他权利。</w:t>
      </w:r>
    </w:p>
    <w:p w14:paraId="523A1198">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4.如甲方在使用该</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构成上述侵权的，则由乙方承担全部责任。</w:t>
      </w:r>
    </w:p>
    <w:p w14:paraId="4787E3C5">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 xml:space="preserve">第七条 包装要求与运输方式   </w:t>
      </w:r>
    </w:p>
    <w:p w14:paraId="29176118">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1.除合同另有规定外，乙方提供的全部</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均应按标准保护措施进行包装，该包装应适应防潮、防霉、防野蛮装卸，以确保</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安全运抵指定地点。</w:t>
      </w:r>
    </w:p>
    <w:p w14:paraId="0736FA8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2.交货时提供产品检测报告和质量合格证。</w:t>
      </w:r>
    </w:p>
    <w:p w14:paraId="33145D4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（产品）运输方式：</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455DB70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4.乙方负责</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（产品）运输，</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运输的合理损耗及计算方法</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763F3086">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 xml:space="preserve">第八条 </w:t>
      </w:r>
      <w:r>
        <w:rPr>
          <w:rFonts w:hint="eastAsia" w:ascii="宋体" w:hAnsi="宋体"/>
          <w:b/>
          <w:color w:val="auto"/>
          <w:spacing w:val="0"/>
          <w:lang w:val="en-US" w:eastAsia="zh-CN"/>
        </w:rPr>
        <w:t>物资</w:t>
      </w:r>
      <w:r>
        <w:rPr>
          <w:rFonts w:hint="eastAsia" w:ascii="宋体" w:hAnsi="宋体"/>
          <w:b/>
          <w:color w:val="auto"/>
          <w:spacing w:val="0"/>
        </w:rPr>
        <w:t>验收</w:t>
      </w:r>
    </w:p>
    <w:p w14:paraId="4FAB478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1.乙方负责</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的运输、供货。</w:t>
      </w:r>
    </w:p>
    <w:p w14:paraId="1DAAE9D7">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2.验收时间：乙方提出验收申请后，甲方应及时组织验收，甲方验收合格后应当出具验收报告。</w:t>
      </w:r>
    </w:p>
    <w:p w14:paraId="5B92FCA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3.验收标准：</w:t>
      </w:r>
    </w:p>
    <w:p w14:paraId="195F2DE1">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应有产品合格证、产品说明书、检测报告和其它应具有的</w:t>
      </w:r>
      <w:r>
        <w:rPr>
          <w:color w:val="auto"/>
          <w:spacing w:val="0"/>
        </w:rPr>
        <w:fldChar w:fldCharType="begin"/>
      </w:r>
      <w:r>
        <w:rPr>
          <w:color w:val="auto"/>
          <w:spacing w:val="0"/>
        </w:rPr>
        <w:instrText xml:space="preserve"> HYPERLINK "http://set2.mail.qq.com/cgi-bin/mail_spam?action=check_link&amp;spam=0&amp;url=http%3A%2F%2Fwww%2Ebaidu%2Ecom%2Fs%3Fwd%3D%25E5%258D%2595%25E8%25AF%2581%26hl_tag%3Dtextlink%26tn%3DSE_hldp01350_v6v6zkg6" </w:instrText>
      </w:r>
      <w:r>
        <w:rPr>
          <w:color w:val="auto"/>
          <w:spacing w:val="0"/>
        </w:rPr>
        <w:fldChar w:fldCharType="separate"/>
      </w:r>
      <w:r>
        <w:rPr>
          <w:rFonts w:hint="eastAsia" w:ascii="宋体" w:hAnsi="宋体"/>
          <w:color w:val="auto"/>
          <w:spacing w:val="0"/>
          <w:sz w:val="21"/>
          <w:szCs w:val="21"/>
        </w:rPr>
        <w:t>单证</w:t>
      </w:r>
      <w:r>
        <w:rPr>
          <w:rFonts w:hint="eastAsia" w:ascii="宋体" w:hAnsi="宋体"/>
          <w:color w:val="auto"/>
          <w:spacing w:val="0"/>
          <w:sz w:val="21"/>
          <w:szCs w:val="21"/>
        </w:rPr>
        <w:fldChar w:fldCharType="end"/>
      </w:r>
      <w:r>
        <w:rPr>
          <w:rFonts w:hint="eastAsia" w:ascii="宋体" w:hAnsi="宋体"/>
          <w:color w:val="auto"/>
          <w:spacing w:val="0"/>
          <w:sz w:val="21"/>
          <w:szCs w:val="21"/>
        </w:rPr>
        <w:t>；验收时采购人对</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进行抽查，如不符合要求，采购人拒绝结算。</w:t>
      </w:r>
    </w:p>
    <w:p w14:paraId="4FD0F872">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(2)质量符合国家法律法规规定的合格标准、招标文件的要求。</w:t>
      </w:r>
    </w:p>
    <w:p w14:paraId="5BC225E5">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hint="eastAsia" w:ascii="宋体" w:hAnsi="宋体"/>
          <w:color w:val="auto"/>
          <w:spacing w:val="0"/>
          <w:sz w:val="21"/>
          <w:szCs w:val="21"/>
        </w:rPr>
      </w:pPr>
      <w:r>
        <w:rPr>
          <w:rFonts w:hint="eastAsia" w:ascii="宋体" w:hAnsi="宋体"/>
          <w:color w:val="auto"/>
          <w:spacing w:val="0"/>
          <w:sz w:val="21"/>
          <w:szCs w:val="21"/>
        </w:rPr>
        <w:t>2.</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验收依据：</w:t>
      </w:r>
    </w:p>
    <w:p w14:paraId="29E3C9FE">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hint="eastAsia" w:ascii="宋体" w:hAnsi="宋体"/>
          <w:color w:val="auto"/>
          <w:spacing w:val="0"/>
          <w:sz w:val="21"/>
          <w:szCs w:val="21"/>
        </w:rPr>
      </w:pPr>
      <w:r>
        <w:rPr>
          <w:rFonts w:hint="eastAsia" w:ascii="宋体" w:hAnsi="宋体"/>
          <w:color w:val="auto"/>
          <w:spacing w:val="0"/>
          <w:sz w:val="21"/>
          <w:szCs w:val="21"/>
        </w:rPr>
        <w:t>（1）招标文件；</w:t>
      </w:r>
    </w:p>
    <w:p w14:paraId="161C210D">
      <w:pPr>
        <w:pStyle w:val="3"/>
        <w:keepNext w:val="0"/>
        <w:keepLines w:val="0"/>
        <w:pageBreakBefore w:val="0"/>
        <w:widowControl/>
        <w:kinsoku w:val="0"/>
        <w:wordWrap/>
        <w:overflowPunct/>
        <w:topLinePunct w:val="0"/>
        <w:autoSpaceDE w:val="0"/>
        <w:autoSpaceDN w:val="0"/>
        <w:bidi w:val="0"/>
        <w:adjustRightInd/>
        <w:snapToGrid/>
        <w:spacing w:line="384" w:lineRule="auto"/>
        <w:ind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（2）投标文件；</w:t>
      </w:r>
    </w:p>
    <w:p w14:paraId="7F679166">
      <w:pPr>
        <w:pStyle w:val="3"/>
        <w:keepNext w:val="0"/>
        <w:keepLines w:val="0"/>
        <w:pageBreakBefore w:val="0"/>
        <w:widowControl/>
        <w:kinsoku w:val="0"/>
        <w:wordWrap/>
        <w:overflowPunct/>
        <w:topLinePunct w:val="0"/>
        <w:autoSpaceDE w:val="0"/>
        <w:autoSpaceDN w:val="0"/>
        <w:bidi w:val="0"/>
        <w:adjustRightInd/>
        <w:snapToGrid/>
        <w:spacing w:line="384" w:lineRule="auto"/>
        <w:ind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（3）采购合同及补充协议；</w:t>
      </w:r>
    </w:p>
    <w:p w14:paraId="2F17BD54">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（产品）合格的检测报告；</w:t>
      </w:r>
    </w:p>
    <w:p w14:paraId="3E960F2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（5）合格证。</w:t>
      </w:r>
    </w:p>
    <w:p w14:paraId="6936D1B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验收时发现问题的处理办法：</w:t>
      </w:r>
    </w:p>
    <w:p w14:paraId="6DF8995D">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（1）乙方提供不符合招标文件和本合同规定的</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（产品），甲方有权拒绝接受；</w:t>
      </w:r>
    </w:p>
    <w:p w14:paraId="29163A9D">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（2）如发现所交付的</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有短装、次品、损坏或其它不符合标准及本合同规定之情形者，甲方有权要求更换</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（产品），同时做出详尽的现场记录，或由甲乙双方签署备忘录，此现场记录或备忘录可用作补充、缺失和更换损坏部件或更换整个</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（产品）有效证据，由此产生的时间延误与有关费用由乙方承担，验收期限相应顺延；</w:t>
      </w:r>
    </w:p>
    <w:p w14:paraId="2C493FE2">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（3）乙方不能完整交付</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及本条第一款规定的单证和工具的，必须负责补齐，否则视为未按合同约定交货。</w:t>
      </w:r>
    </w:p>
    <w:p w14:paraId="0CE00853">
      <w:pPr>
        <w:pStyle w:val="9"/>
        <w:keepNext w:val="0"/>
        <w:keepLines w:val="0"/>
        <w:pageBreakBefore w:val="0"/>
        <w:widowControl/>
        <w:kinsoku w:val="0"/>
        <w:wordWrap/>
        <w:overflowPunct/>
        <w:topLinePunct w:val="0"/>
        <w:autoSpaceDE w:val="0"/>
        <w:autoSpaceDN w:val="0"/>
        <w:bidi w:val="0"/>
        <w:adjustRightInd/>
        <w:snapToGrid/>
        <w:spacing w:line="384"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第九条 售后服务</w:t>
      </w:r>
    </w:p>
    <w:p w14:paraId="06ADA7FC">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乙方应按照国家有关法律法规和“三包”规定以及招标文件要求和投标文件的“服务承诺”提供服务。</w:t>
      </w:r>
    </w:p>
    <w:p w14:paraId="53C89EF4">
      <w:pPr>
        <w:pStyle w:val="9"/>
        <w:keepNext w:val="0"/>
        <w:keepLines w:val="0"/>
        <w:pageBreakBefore w:val="0"/>
        <w:widowControl/>
        <w:kinsoku w:val="0"/>
        <w:wordWrap/>
        <w:overflowPunct/>
        <w:topLinePunct w:val="0"/>
        <w:autoSpaceDE w:val="0"/>
        <w:autoSpaceDN w:val="0"/>
        <w:bidi w:val="0"/>
        <w:adjustRightInd/>
        <w:snapToGrid/>
        <w:spacing w:line="384"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第十条 违约责任</w:t>
      </w:r>
    </w:p>
    <w:p w14:paraId="7C9C695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1.甲方违约责任</w:t>
      </w:r>
    </w:p>
    <w:p w14:paraId="1AFFB73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（1）甲方无正当理由拒收</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的，甲方应偿付合同总价</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%的违约金；</w:t>
      </w:r>
    </w:p>
    <w:p w14:paraId="5BDC1401">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（2）甲方逾期支付货款的，除应及时付足货款外，应向乙方每天支付欠款总额</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‰的滞纳金；但累计滞纳金总额不超过欠款总额的</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w:t>
      </w:r>
    </w:p>
    <w:p w14:paraId="6A164D3B">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2.乙方违约责任</w:t>
      </w:r>
    </w:p>
    <w:p w14:paraId="6DC5CEEC">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（1）如乙方不能交付</w:t>
      </w:r>
      <w:r>
        <w:rPr>
          <w:rFonts w:hint="eastAsia" w:ascii="宋体" w:hAnsi="宋体" w:eastAsia="宋体" w:cs="宋体"/>
          <w:color w:val="auto"/>
          <w:spacing w:val="0"/>
          <w:szCs w:val="21"/>
          <w:lang w:val="en-US" w:eastAsia="zh-CN"/>
        </w:rPr>
        <w:t>物资</w:t>
      </w:r>
      <w:r>
        <w:rPr>
          <w:rFonts w:hint="eastAsia" w:ascii="宋体" w:hAnsi="宋体" w:cs="宋体"/>
          <w:color w:val="auto"/>
          <w:spacing w:val="0"/>
          <w:kern w:val="0"/>
          <w:szCs w:val="21"/>
        </w:rPr>
        <w:t>，乙方应向甲方支付合同总价</w:t>
      </w:r>
      <w:r>
        <w:rPr>
          <w:rFonts w:hint="eastAsia" w:ascii="宋体" w:hAnsi="宋体" w:cs="宋体"/>
          <w:color w:val="auto"/>
          <w:spacing w:val="0"/>
          <w:kern w:val="0"/>
          <w:szCs w:val="21"/>
          <w:u w:val="single"/>
        </w:rPr>
        <w:t xml:space="preserve"> </w:t>
      </w:r>
      <w:r>
        <w:rPr>
          <w:rFonts w:hint="eastAsia" w:ascii="宋体" w:hAnsi="宋体" w:eastAsia="宋体" w:cs="宋体"/>
          <w:color w:val="auto"/>
          <w:spacing w:val="0"/>
          <w:kern w:val="0"/>
          <w:szCs w:val="21"/>
          <w:u w:val="single"/>
          <w:lang w:val="en-US" w:eastAsia="zh-CN"/>
        </w:rPr>
        <w:t xml:space="preserve">  </w:t>
      </w:r>
      <w:r>
        <w:rPr>
          <w:rFonts w:hint="eastAsia" w:ascii="宋体" w:hAnsi="宋体" w:cs="宋体"/>
          <w:color w:val="auto"/>
          <w:spacing w:val="0"/>
          <w:kern w:val="0"/>
          <w:szCs w:val="21"/>
          <w:u w:val="single"/>
        </w:rPr>
        <w:t xml:space="preserve"> </w:t>
      </w:r>
      <w:r>
        <w:rPr>
          <w:rFonts w:hint="eastAsia" w:ascii="宋体" w:hAnsi="宋体" w:cs="宋体"/>
          <w:color w:val="auto"/>
          <w:spacing w:val="0"/>
          <w:kern w:val="0"/>
          <w:szCs w:val="21"/>
        </w:rPr>
        <w:t>％的违约金；</w:t>
      </w:r>
    </w:p>
    <w:p w14:paraId="1F3408E9">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（2）乙方逾期交付</w:t>
      </w:r>
      <w:r>
        <w:rPr>
          <w:rFonts w:hint="eastAsia" w:ascii="宋体" w:hAnsi="宋体" w:eastAsia="宋体" w:cs="宋体"/>
          <w:color w:val="auto"/>
          <w:spacing w:val="0"/>
          <w:szCs w:val="21"/>
          <w:lang w:val="en-US" w:eastAsia="zh-CN"/>
        </w:rPr>
        <w:t>物资</w:t>
      </w:r>
      <w:r>
        <w:rPr>
          <w:rFonts w:hint="eastAsia" w:ascii="宋体" w:hAnsi="宋体" w:cs="宋体"/>
          <w:color w:val="auto"/>
          <w:spacing w:val="0"/>
          <w:kern w:val="0"/>
          <w:szCs w:val="21"/>
        </w:rPr>
        <w:t>的，每逾期1天，乙方向甲方偿付逾期交货部分货款总额的</w:t>
      </w:r>
      <w:r>
        <w:rPr>
          <w:rFonts w:hint="eastAsia" w:ascii="宋体" w:hAnsi="宋体" w:cs="宋体"/>
          <w:color w:val="auto"/>
          <w:spacing w:val="0"/>
          <w:kern w:val="0"/>
          <w:szCs w:val="21"/>
          <w:u w:val="single"/>
        </w:rPr>
        <w:t xml:space="preserve">   </w:t>
      </w:r>
      <w:r>
        <w:rPr>
          <w:rFonts w:hint="eastAsia" w:ascii="宋体" w:hAnsi="宋体" w:cs="宋体"/>
          <w:color w:val="auto"/>
          <w:spacing w:val="0"/>
          <w:kern w:val="0"/>
          <w:szCs w:val="21"/>
        </w:rPr>
        <w:t>‰的滞纳金。如乙方逾期交货达</w:t>
      </w:r>
      <w:r>
        <w:rPr>
          <w:rFonts w:hint="eastAsia" w:ascii="宋体" w:hAnsi="宋体" w:eastAsia="宋体" w:cs="宋体"/>
          <w:color w:val="auto"/>
          <w:spacing w:val="0"/>
          <w:kern w:val="0"/>
          <w:szCs w:val="21"/>
          <w:u w:val="single"/>
          <w:lang w:val="en-US" w:eastAsia="zh-CN"/>
        </w:rPr>
        <w:t xml:space="preserve">   </w:t>
      </w:r>
      <w:r>
        <w:rPr>
          <w:rFonts w:hint="eastAsia" w:ascii="宋体" w:hAnsi="宋体" w:cs="宋体"/>
          <w:color w:val="auto"/>
          <w:spacing w:val="0"/>
          <w:kern w:val="0"/>
          <w:szCs w:val="21"/>
        </w:rPr>
        <w:t>天，甲方有权解除合同，解除合同的通知自到达乙方时生效；</w:t>
      </w:r>
    </w:p>
    <w:p w14:paraId="2E2C4B94">
      <w:pPr>
        <w:keepNext w:val="0"/>
        <w:keepLines w:val="0"/>
        <w:pageBreakBefore w:val="0"/>
        <w:widowControl/>
        <w:kinsoku w:val="0"/>
        <w:wordWrap/>
        <w:overflowPunct/>
        <w:topLinePunct w:val="0"/>
        <w:autoSpaceDE w:val="0"/>
        <w:autoSpaceDN w:val="0"/>
        <w:bidi w:val="0"/>
        <w:adjustRightInd/>
        <w:snapToGrid/>
        <w:spacing w:line="384"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（3）乙方所交付的</w:t>
      </w:r>
      <w:r>
        <w:rPr>
          <w:rFonts w:hint="eastAsia" w:ascii="宋体" w:hAnsi="宋体" w:eastAsia="宋体" w:cs="宋体"/>
          <w:color w:val="auto"/>
          <w:spacing w:val="0"/>
          <w:szCs w:val="21"/>
          <w:lang w:val="en-US" w:eastAsia="zh-CN"/>
        </w:rPr>
        <w:t>物资</w:t>
      </w:r>
      <w:r>
        <w:rPr>
          <w:rFonts w:hint="eastAsia" w:ascii="宋体" w:hAnsi="宋体" w:cs="宋体"/>
          <w:color w:val="auto"/>
          <w:spacing w:val="0"/>
          <w:kern w:val="0"/>
          <w:szCs w:val="21"/>
        </w:rPr>
        <w:t>品种、型号、规格不符合合同规定的，甲方有权拒收。甲方拒收的，乙方应向甲方支付货款总额</w:t>
      </w:r>
      <w:r>
        <w:rPr>
          <w:rFonts w:hint="eastAsia" w:ascii="宋体" w:hAnsi="宋体" w:cs="宋体"/>
          <w:color w:val="auto"/>
          <w:spacing w:val="0"/>
          <w:kern w:val="0"/>
          <w:szCs w:val="21"/>
          <w:u w:val="single"/>
        </w:rPr>
        <w:t xml:space="preserve">    </w:t>
      </w:r>
      <w:r>
        <w:rPr>
          <w:rFonts w:hint="eastAsia" w:ascii="宋体" w:hAnsi="宋体" w:cs="宋体"/>
          <w:color w:val="auto"/>
          <w:spacing w:val="0"/>
          <w:kern w:val="0"/>
          <w:szCs w:val="21"/>
        </w:rPr>
        <w:t>%的违约金；</w:t>
      </w:r>
    </w:p>
    <w:p w14:paraId="0BFC9C65">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（4）乙方</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经甲方验收后，如</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质量不符合本合同规定标准的，则视为乙方没有按时交货而违约，乙方须在</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天内无条件更换合格的</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，如逾期不能更换合格的</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，甲方有权终止本合同，乙方应另向甲方支付货款总额的</w:t>
      </w:r>
      <w:r>
        <w:rPr>
          <w:rFonts w:hint="eastAsia" w:ascii="宋体" w:hAnsi="宋体"/>
          <w:color w:val="auto"/>
          <w:spacing w:val="0"/>
          <w:sz w:val="21"/>
          <w:szCs w:val="21"/>
          <w:u w:val="single"/>
        </w:rPr>
        <w:t xml:space="preserve">    </w:t>
      </w:r>
      <w:r>
        <w:rPr>
          <w:rFonts w:hint="eastAsia" w:ascii="宋体" w:hAnsi="宋体"/>
          <w:color w:val="auto"/>
          <w:spacing w:val="0"/>
          <w:sz w:val="21"/>
          <w:szCs w:val="21"/>
        </w:rPr>
        <w:t>%的违约金；</w:t>
      </w:r>
    </w:p>
    <w:p w14:paraId="31D39058">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（5）在乙方承诺的或国家规定的质量保证期内（取两者中最长的期限），如经乙方两次维修或更换，</w:t>
      </w:r>
      <w:r>
        <w:rPr>
          <w:rFonts w:hint="eastAsia" w:ascii="宋体" w:hAnsi="宋体"/>
          <w:color w:val="auto"/>
          <w:spacing w:val="0"/>
          <w:sz w:val="21"/>
          <w:szCs w:val="21"/>
          <w:lang w:val="en-US" w:eastAsia="zh-CN"/>
        </w:rPr>
        <w:t>物资</w:t>
      </w:r>
      <w:r>
        <w:rPr>
          <w:rFonts w:hint="eastAsia" w:ascii="宋体" w:hAnsi="宋体"/>
          <w:color w:val="auto"/>
          <w:spacing w:val="0"/>
          <w:kern w:val="0"/>
          <w:sz w:val="21"/>
          <w:szCs w:val="21"/>
        </w:rPr>
        <w:t>仍不能达到合同约定的质量标准，甲方有权退货，乙方应退回全部货款，并按第3款处理，同时，乙方还须赔偿甲方因此遭受的损失；</w:t>
      </w:r>
    </w:p>
    <w:p w14:paraId="2D203739">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（6）乙方未按本合同的规定和</w:t>
      </w:r>
      <w:r>
        <w:rPr>
          <w:rFonts w:hint="eastAsia" w:ascii="宋体" w:hAnsi="宋体" w:eastAsia="宋体"/>
          <w:color w:val="auto"/>
          <w:spacing w:val="0"/>
          <w:kern w:val="0"/>
          <w:sz w:val="21"/>
          <w:szCs w:val="21"/>
          <w:lang w:eastAsia="zh-CN"/>
        </w:rPr>
        <w:t>“</w:t>
      </w:r>
      <w:r>
        <w:rPr>
          <w:rFonts w:hint="eastAsia" w:ascii="宋体" w:hAnsi="宋体"/>
          <w:color w:val="auto"/>
          <w:spacing w:val="0"/>
          <w:kern w:val="0"/>
          <w:sz w:val="21"/>
          <w:szCs w:val="21"/>
        </w:rPr>
        <w:t>服务承诺</w:t>
      </w:r>
      <w:r>
        <w:rPr>
          <w:rFonts w:hint="eastAsia" w:ascii="宋体" w:hAnsi="宋体" w:eastAsia="宋体"/>
          <w:color w:val="auto"/>
          <w:spacing w:val="0"/>
          <w:kern w:val="0"/>
          <w:sz w:val="21"/>
          <w:szCs w:val="21"/>
          <w:lang w:eastAsia="zh-CN"/>
        </w:rPr>
        <w:t>”</w:t>
      </w:r>
      <w:r>
        <w:rPr>
          <w:rFonts w:hint="eastAsia" w:ascii="宋体" w:hAnsi="宋体"/>
          <w:color w:val="auto"/>
          <w:spacing w:val="0"/>
          <w:kern w:val="0"/>
          <w:sz w:val="21"/>
          <w:szCs w:val="21"/>
        </w:rPr>
        <w:t>提供伴随服务/售后服务的，应按合同总价款的</w:t>
      </w:r>
      <w:r>
        <w:rPr>
          <w:rFonts w:hint="eastAsia" w:ascii="宋体" w:hAnsi="宋体"/>
          <w:color w:val="auto"/>
          <w:spacing w:val="0"/>
          <w:kern w:val="0"/>
          <w:sz w:val="21"/>
          <w:szCs w:val="21"/>
          <w:u w:val="single"/>
        </w:rPr>
        <w:t xml:space="preserve"> 10 </w:t>
      </w:r>
      <w:r>
        <w:rPr>
          <w:rFonts w:hint="eastAsia" w:ascii="宋体" w:hAnsi="宋体"/>
          <w:color w:val="auto"/>
          <w:spacing w:val="0"/>
          <w:kern w:val="0"/>
          <w:sz w:val="21"/>
          <w:szCs w:val="21"/>
        </w:rPr>
        <w:t>%向甲方承担违约责任；</w:t>
      </w:r>
    </w:p>
    <w:p w14:paraId="39A7FFA9">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（7）乙方在承担上述1-7款一项或多项违约责任后，仍应继续履行合同规定的义务（甲方解除合同的除外）。甲方未能及时追究乙方的任何一项违约责任并不表明甲方放弃追究乙方该项或其他违约责任；</w:t>
      </w:r>
    </w:p>
    <w:p w14:paraId="5F2FFBD8">
      <w:pPr>
        <w:pStyle w:val="9"/>
        <w:keepNext w:val="0"/>
        <w:keepLines w:val="0"/>
        <w:pageBreakBefore w:val="0"/>
        <w:widowControl/>
        <w:kinsoku w:val="0"/>
        <w:wordWrap/>
        <w:overflowPunct/>
        <w:topLinePunct w:val="0"/>
        <w:autoSpaceDE w:val="0"/>
        <w:autoSpaceDN w:val="0"/>
        <w:bidi w:val="0"/>
        <w:adjustRightInd/>
        <w:snapToGrid/>
        <w:spacing w:line="384"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（8）乙方偿付的违约金不足以弥补甲方损失的，还应按甲方损失尚未弥补的部分，支付赔偿金给甲方。</w:t>
      </w:r>
      <w:bookmarkStart w:id="0" w:name="_GoBack"/>
      <w:bookmarkEnd w:id="0"/>
    </w:p>
    <w:p w14:paraId="468D7ADA">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第十一条 合同的变更和终止</w:t>
      </w:r>
    </w:p>
    <w:p w14:paraId="46AA1F8C">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jc w:val="left"/>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除《中华人民共和国政府采购法》第49条、第50条第二款规定的情形外，本合同一经签订，甲乙双方不得擅自变更、中止或终止合同。</w:t>
      </w:r>
      <w:r>
        <w:rPr>
          <w:rFonts w:hint="eastAsia" w:ascii="宋体" w:hAnsi="宋体" w:eastAsia="宋体" w:cs="宋体"/>
          <w:color w:val="auto"/>
          <w:spacing w:val="0"/>
          <w:lang w:eastAsia="zh-CN"/>
        </w:rPr>
        <w:drawing>
          <wp:anchor distT="0" distB="0" distL="114300" distR="114300" simplePos="0" relativeHeight="251660288" behindDoc="0" locked="0" layoutInCell="1" allowOverlap="1">
            <wp:simplePos x="0" y="0"/>
            <wp:positionH relativeFrom="column">
              <wp:posOffset>3183255</wp:posOffset>
            </wp:positionH>
            <wp:positionV relativeFrom="paragraph">
              <wp:posOffset>3483610</wp:posOffset>
            </wp:positionV>
            <wp:extent cx="2392680" cy="1911350"/>
            <wp:effectExtent l="0" t="0" r="0" b="0"/>
            <wp:wrapNone/>
            <wp:docPr id="54" name="图片 54" descr="20241015173853389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20241015173853389_00"/>
                    <pic:cNvPicPr>
                      <a:picLocks noChangeAspect="1"/>
                    </pic:cNvPicPr>
                  </pic:nvPicPr>
                  <pic:blipFill>
                    <a:blip r:embed="rId7"/>
                    <a:stretch>
                      <a:fillRect/>
                    </a:stretch>
                  </pic:blipFill>
                  <pic:spPr>
                    <a:xfrm>
                      <a:off x="0" y="0"/>
                      <a:ext cx="2392680" cy="1911350"/>
                    </a:xfrm>
                    <a:prstGeom prst="rect">
                      <a:avLst/>
                    </a:prstGeom>
                  </pic:spPr>
                </pic:pic>
              </a:graphicData>
            </a:graphic>
          </wp:anchor>
        </w:drawing>
      </w:r>
    </w:p>
    <w:p w14:paraId="610E8BC3">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第十二条 争议的解决</w:t>
      </w:r>
    </w:p>
    <w:p w14:paraId="109EE03F">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sz w:val="21"/>
          <w:szCs w:val="21"/>
        </w:rPr>
      </w:pPr>
      <w:r>
        <w:rPr>
          <w:rFonts w:hint="eastAsia" w:ascii="宋体" w:hAnsi="宋体"/>
          <w:color w:val="auto"/>
          <w:spacing w:val="0"/>
          <w:sz w:val="21"/>
          <w:szCs w:val="21"/>
        </w:rPr>
        <w:t>1.因</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的质量问题发生争议，由质量技术监督部门或其指定的质量鉴定机构进行质量鉴定。</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符合标准的，鉴定费由甲方承担；</w:t>
      </w:r>
      <w:r>
        <w:rPr>
          <w:rFonts w:hint="eastAsia" w:ascii="宋体" w:hAnsi="宋体"/>
          <w:color w:val="auto"/>
          <w:spacing w:val="0"/>
          <w:sz w:val="21"/>
          <w:szCs w:val="21"/>
          <w:lang w:val="en-US" w:eastAsia="zh-CN"/>
        </w:rPr>
        <w:t>物资</w:t>
      </w:r>
      <w:r>
        <w:rPr>
          <w:rFonts w:hint="eastAsia" w:ascii="宋体" w:hAnsi="宋体"/>
          <w:color w:val="auto"/>
          <w:spacing w:val="0"/>
          <w:sz w:val="21"/>
          <w:szCs w:val="21"/>
        </w:rPr>
        <w:t>不符合质量标准的，鉴定费由乙方承担。</w:t>
      </w:r>
    </w:p>
    <w:p w14:paraId="696842DE">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2.因履行本合同引起的或与本合同有关的争议，甲、乙双方应首先通过友好协商解决，如果协商不成，则采取以下第</w:t>
      </w:r>
      <w:r>
        <w:rPr>
          <w:rFonts w:hint="eastAsia" w:ascii="宋体" w:hAnsi="宋体"/>
          <w:color w:val="auto"/>
          <w:spacing w:val="0"/>
          <w:kern w:val="0"/>
          <w:sz w:val="21"/>
          <w:szCs w:val="21"/>
          <w:u w:val="single"/>
        </w:rPr>
        <w:t xml:space="preserve"> 2 </w:t>
      </w:r>
      <w:r>
        <w:rPr>
          <w:rFonts w:hint="eastAsia" w:ascii="宋体" w:hAnsi="宋体"/>
          <w:color w:val="auto"/>
          <w:spacing w:val="0"/>
          <w:kern w:val="0"/>
          <w:sz w:val="21"/>
          <w:szCs w:val="21"/>
        </w:rPr>
        <w:t>种方式解决争议：</w:t>
      </w:r>
    </w:p>
    <w:p w14:paraId="1F9BE2E3">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（1）向甲方所在地有管辖权的人民法院提起诉讼；</w:t>
      </w:r>
    </w:p>
    <w:p w14:paraId="13511ABD">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（2）向</w:t>
      </w:r>
      <w:r>
        <w:rPr>
          <w:rFonts w:hint="eastAsia" w:ascii="宋体" w:hAnsi="宋体"/>
          <w:color w:val="auto"/>
          <w:spacing w:val="0"/>
          <w:kern w:val="0"/>
          <w:sz w:val="21"/>
          <w:szCs w:val="21"/>
          <w:u w:val="single"/>
          <w:lang w:val="en-US" w:eastAsia="zh-CN"/>
        </w:rPr>
        <w:t>渭南</w:t>
      </w:r>
      <w:r>
        <w:rPr>
          <w:rFonts w:hint="eastAsia" w:ascii="宋体" w:hAnsi="宋体"/>
          <w:color w:val="auto"/>
          <w:spacing w:val="0"/>
          <w:kern w:val="0"/>
          <w:sz w:val="21"/>
          <w:szCs w:val="21"/>
        </w:rPr>
        <w:t>仲裁委员会按其仲裁规则申请仲裁。</w:t>
      </w:r>
    </w:p>
    <w:p w14:paraId="41CB63C4">
      <w:pPr>
        <w:pStyle w:val="9"/>
        <w:keepNext w:val="0"/>
        <w:keepLines w:val="0"/>
        <w:pageBreakBefore w:val="0"/>
        <w:widowControl/>
        <w:kinsoku w:val="0"/>
        <w:wordWrap/>
        <w:overflowPunct/>
        <w:topLinePunct w:val="0"/>
        <w:autoSpaceDE w:val="0"/>
        <w:autoSpaceDN w:val="0"/>
        <w:bidi w:val="0"/>
        <w:adjustRightInd/>
        <w:snapToGrid/>
        <w:spacing w:line="360" w:lineRule="auto"/>
        <w:ind w:firstLine="420"/>
        <w:textAlignment w:val="baseline"/>
        <w:outlineLvl w:val="9"/>
        <w:rPr>
          <w:rFonts w:ascii="宋体" w:hAnsi="宋体"/>
          <w:color w:val="auto"/>
          <w:spacing w:val="0"/>
          <w:kern w:val="0"/>
          <w:sz w:val="21"/>
          <w:szCs w:val="21"/>
        </w:rPr>
      </w:pPr>
      <w:r>
        <w:rPr>
          <w:rFonts w:hint="eastAsia" w:ascii="宋体" w:hAnsi="宋体"/>
          <w:color w:val="auto"/>
          <w:spacing w:val="0"/>
          <w:kern w:val="0"/>
          <w:sz w:val="21"/>
          <w:szCs w:val="21"/>
        </w:rPr>
        <w:t>3.在仲裁期间，本合同应继续履行。</w:t>
      </w:r>
    </w:p>
    <w:p w14:paraId="25E7650D">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第十三条 合同文件</w:t>
      </w:r>
    </w:p>
    <w:p w14:paraId="46001BB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详细技术说明及其他有关合同项目的特定信息由合同附件予以说明，下列文件构成本合同的组成部分，应该认为是一个整体，彼此相互解释，相互补充。组成合同的多个文件的优先支配地位的次序如下：</w:t>
      </w:r>
    </w:p>
    <w:p w14:paraId="2A88A35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1.本合同书</w:t>
      </w:r>
    </w:p>
    <w:p w14:paraId="002EDAA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2.中标通知书</w:t>
      </w:r>
      <w:r>
        <w:rPr>
          <w:rFonts w:hint="eastAsia" w:ascii="宋体" w:hAnsi="宋体" w:cs="宋体"/>
          <w:color w:val="auto"/>
          <w:spacing w:val="0"/>
          <w:szCs w:val="21"/>
        </w:rPr>
        <w:tab/>
      </w:r>
    </w:p>
    <w:p w14:paraId="768D3957">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3.协议</w:t>
      </w:r>
    </w:p>
    <w:p w14:paraId="7885D5A1">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4.招标文件(含澄清或者修改文件)</w:t>
      </w:r>
    </w:p>
    <w:p w14:paraId="4BC74447">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szCs w:val="21"/>
        </w:rPr>
        <w:t>5.投标文件</w:t>
      </w:r>
    </w:p>
    <w:p w14:paraId="35B4403F">
      <w:pPr>
        <w:pStyle w:val="9"/>
        <w:keepNext w:val="0"/>
        <w:keepLines w:val="0"/>
        <w:pageBreakBefore w:val="0"/>
        <w:widowControl/>
        <w:kinsoku w:val="0"/>
        <w:wordWrap/>
        <w:overflowPunct/>
        <w:topLinePunct w:val="0"/>
        <w:autoSpaceDE w:val="0"/>
        <w:autoSpaceDN w:val="0"/>
        <w:bidi w:val="0"/>
        <w:adjustRightInd/>
        <w:snapToGrid/>
        <w:spacing w:line="360" w:lineRule="auto"/>
        <w:ind w:firstLine="423" w:firstLineChars="176"/>
        <w:textAlignment w:val="baseline"/>
        <w:outlineLvl w:val="9"/>
        <w:rPr>
          <w:rFonts w:ascii="宋体" w:hAnsi="宋体"/>
          <w:b/>
          <w:color w:val="auto"/>
          <w:spacing w:val="0"/>
        </w:rPr>
      </w:pPr>
      <w:r>
        <w:rPr>
          <w:rFonts w:hint="eastAsia" w:ascii="宋体" w:hAnsi="宋体"/>
          <w:b/>
          <w:color w:val="auto"/>
          <w:spacing w:val="0"/>
        </w:rPr>
        <w:t>第十四条 合同生效及其他</w:t>
      </w:r>
    </w:p>
    <w:p w14:paraId="587E87FA">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szCs w:val="21"/>
        </w:rPr>
      </w:pPr>
      <w:r>
        <w:rPr>
          <w:rFonts w:hint="eastAsia" w:ascii="宋体" w:hAnsi="宋体" w:cs="宋体"/>
          <w:color w:val="auto"/>
          <w:spacing w:val="0"/>
          <w:kern w:val="0"/>
          <w:szCs w:val="21"/>
        </w:rPr>
        <w:t>1.</w:t>
      </w:r>
      <w:r>
        <w:rPr>
          <w:rFonts w:hint="eastAsia" w:ascii="宋体" w:hAnsi="宋体" w:cs="宋体"/>
          <w:color w:val="auto"/>
          <w:spacing w:val="0"/>
          <w:szCs w:val="21"/>
        </w:rPr>
        <w:t>如有未尽事宜，由双方依法订立补充合同。</w:t>
      </w:r>
    </w:p>
    <w:p w14:paraId="585028D1">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2.本合同自签订之日起生效。</w:t>
      </w:r>
    </w:p>
    <w:p w14:paraId="19A95478">
      <w:pPr>
        <w:keepNext w:val="0"/>
        <w:keepLines w:val="0"/>
        <w:pageBreakBefore w:val="0"/>
        <w:widowControl/>
        <w:kinsoku w:val="0"/>
        <w:wordWrap/>
        <w:overflowPunct/>
        <w:topLinePunct w:val="0"/>
        <w:autoSpaceDE w:val="0"/>
        <w:autoSpaceDN w:val="0"/>
        <w:bidi w:val="0"/>
        <w:adjustRightInd/>
        <w:snapToGrid/>
        <w:spacing w:line="360" w:lineRule="auto"/>
        <w:ind w:firstLine="420" w:firstLineChars="200"/>
        <w:textAlignment w:val="baseline"/>
        <w:outlineLvl w:val="9"/>
        <w:rPr>
          <w:rFonts w:ascii="宋体" w:hAnsi="宋体" w:cs="宋体"/>
          <w:color w:val="auto"/>
          <w:spacing w:val="0"/>
          <w:kern w:val="0"/>
          <w:szCs w:val="21"/>
        </w:rPr>
      </w:pPr>
      <w:r>
        <w:rPr>
          <w:rFonts w:hint="eastAsia" w:ascii="宋体" w:hAnsi="宋体" w:cs="宋体"/>
          <w:color w:val="auto"/>
          <w:spacing w:val="0"/>
          <w:kern w:val="0"/>
          <w:szCs w:val="21"/>
        </w:rPr>
        <w:t>3.本合同一式</w:t>
      </w:r>
      <w:r>
        <w:rPr>
          <w:rFonts w:hint="eastAsia" w:ascii="宋体" w:hAnsi="宋体" w:cs="宋体"/>
          <w:color w:val="auto"/>
          <w:spacing w:val="0"/>
          <w:kern w:val="0"/>
          <w:szCs w:val="21"/>
          <w:u w:val="single"/>
        </w:rPr>
        <w:t>陆</w:t>
      </w:r>
      <w:r>
        <w:rPr>
          <w:rFonts w:hint="eastAsia" w:ascii="宋体" w:hAnsi="宋体" w:cs="宋体"/>
          <w:color w:val="auto"/>
          <w:spacing w:val="0"/>
          <w:kern w:val="0"/>
          <w:szCs w:val="21"/>
        </w:rPr>
        <w:t>份，具有同等法律效力，甲乙双方各执</w:t>
      </w:r>
      <w:r>
        <w:rPr>
          <w:rFonts w:hint="eastAsia" w:ascii="宋体" w:hAnsi="宋体" w:cs="宋体"/>
          <w:color w:val="auto"/>
          <w:spacing w:val="0"/>
          <w:kern w:val="0"/>
          <w:szCs w:val="21"/>
          <w:u w:val="single"/>
        </w:rPr>
        <w:t>贰</w:t>
      </w:r>
      <w:r>
        <w:rPr>
          <w:rFonts w:hint="eastAsia" w:ascii="宋体" w:hAnsi="宋体" w:cs="宋体"/>
          <w:color w:val="auto"/>
          <w:spacing w:val="0"/>
          <w:kern w:val="0"/>
          <w:szCs w:val="21"/>
        </w:rPr>
        <w:t>份，</w:t>
      </w:r>
      <w:r>
        <w:rPr>
          <w:rFonts w:hint="eastAsia" w:ascii="宋体" w:hAnsi="宋体" w:cs="宋体"/>
          <w:color w:val="auto"/>
          <w:spacing w:val="0"/>
          <w:kern w:val="0"/>
          <w:szCs w:val="21"/>
          <w:u w:val="single"/>
        </w:rPr>
        <w:t>壹</w:t>
      </w:r>
      <w:r>
        <w:rPr>
          <w:rFonts w:hint="eastAsia" w:ascii="宋体" w:hAnsi="宋体" w:cs="宋体"/>
          <w:color w:val="auto"/>
          <w:spacing w:val="0"/>
          <w:kern w:val="0"/>
          <w:szCs w:val="21"/>
        </w:rPr>
        <w:t>份报送政府采购监督管理部门备案，一份采购代理机构存档。</w:t>
      </w:r>
    </w:p>
    <w:p w14:paraId="2A3D83B7">
      <w:pPr>
        <w:snapToGrid w:val="0"/>
        <w:spacing w:line="360" w:lineRule="auto"/>
        <w:ind w:firstLine="420" w:firstLineChars="200"/>
        <w:outlineLvl w:val="9"/>
        <w:rPr>
          <w:rFonts w:ascii="宋体" w:hAnsi="宋体" w:cs="宋体"/>
          <w:color w:val="auto"/>
          <w:spacing w:val="0"/>
          <w:kern w:val="0"/>
          <w:szCs w:val="21"/>
        </w:rPr>
      </w:pPr>
    </w:p>
    <w:p w14:paraId="013055BC">
      <w:pPr>
        <w:pStyle w:val="4"/>
        <w:outlineLvl w:val="9"/>
        <w:rPr>
          <w:rFonts w:ascii="宋体" w:hAnsi="宋体" w:cs="宋体"/>
          <w:color w:val="auto"/>
          <w:spacing w:val="0"/>
          <w:kern w:val="0"/>
          <w:szCs w:val="21"/>
        </w:rPr>
      </w:pPr>
    </w:p>
    <w:p w14:paraId="0B42C094">
      <w:pPr>
        <w:outlineLvl w:val="9"/>
        <w:rPr>
          <w:color w:val="auto"/>
          <w:spacing w:val="0"/>
        </w:rPr>
      </w:pPr>
    </w:p>
    <w:p w14:paraId="711F030C">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 xml:space="preserve">甲方：   （盖章）   </w:t>
      </w:r>
      <w:r>
        <w:rPr>
          <w:rFonts w:hint="eastAsia" w:ascii="宋体" w:hAnsi="宋体" w:cs="宋体"/>
          <w:color w:val="auto"/>
          <w:spacing w:val="0"/>
          <w:szCs w:val="21"/>
        </w:rPr>
        <w:tab/>
      </w:r>
      <w:r>
        <w:rPr>
          <w:rFonts w:hint="eastAsia" w:ascii="宋体" w:hAnsi="宋体" w:cs="宋体"/>
          <w:color w:val="auto"/>
          <w:spacing w:val="0"/>
          <w:szCs w:val="21"/>
        </w:rPr>
        <w:tab/>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 xml:space="preserve"> </w:t>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 xml:space="preserve">          乙方：   （盖章）</w:t>
      </w:r>
    </w:p>
    <w:p w14:paraId="3F46FD1B">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法定代表人/委托代理人：                    法定代表人/委托代理人：</w:t>
      </w:r>
    </w:p>
    <w:p w14:paraId="3291A3BC">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地    址：                                 地    址：</w:t>
      </w:r>
    </w:p>
    <w:p w14:paraId="71F2194A">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开户银行：</w:t>
      </w:r>
      <w:r>
        <w:rPr>
          <w:rFonts w:hint="eastAsia"/>
          <w:color w:val="auto"/>
          <w:spacing w:val="0"/>
          <w:lang w:val="en-US" w:eastAsia="zh-CN"/>
        </w:rPr>
        <w:t xml:space="preserve">                                </w:t>
      </w:r>
      <w:r>
        <w:rPr>
          <w:rFonts w:hint="eastAsia"/>
          <w:color w:val="auto"/>
          <w:spacing w:val="0"/>
        </w:rPr>
        <w:t xml:space="preserve"> </w:t>
      </w:r>
      <w:r>
        <w:rPr>
          <w:rFonts w:hint="eastAsia" w:ascii="宋体" w:hAnsi="宋体" w:cs="宋体"/>
          <w:color w:val="auto"/>
          <w:spacing w:val="0"/>
          <w:szCs w:val="21"/>
        </w:rPr>
        <w:t>开户银行：</w:t>
      </w:r>
    </w:p>
    <w:p w14:paraId="00F864DF">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 xml:space="preserve">账    号： </w:t>
      </w:r>
      <w:r>
        <w:rPr>
          <w:rFonts w:hint="eastAsia"/>
          <w:color w:val="auto"/>
          <w:spacing w:val="0"/>
          <w:lang w:val="en-US" w:eastAsia="zh-CN"/>
        </w:rPr>
        <w:t xml:space="preserve">            </w:t>
      </w:r>
      <w:r>
        <w:rPr>
          <w:rFonts w:hint="eastAsia" w:ascii="宋体" w:hAnsi="宋体" w:cs="宋体"/>
          <w:color w:val="auto"/>
          <w:spacing w:val="0"/>
          <w:szCs w:val="21"/>
        </w:rPr>
        <w:t xml:space="preserve">               </w:t>
      </w:r>
      <w:r>
        <w:rPr>
          <w:rFonts w:hint="eastAsia" w:ascii="宋体" w:hAnsi="宋体" w:eastAsia="宋体" w:cs="宋体"/>
          <w:color w:val="auto"/>
          <w:spacing w:val="0"/>
          <w:szCs w:val="21"/>
          <w:lang w:val="en-US" w:eastAsia="zh-CN"/>
        </w:rPr>
        <w:t xml:space="preserve">     </w:t>
      </w:r>
      <w:r>
        <w:rPr>
          <w:rFonts w:hint="eastAsia" w:ascii="宋体" w:hAnsi="宋体" w:cs="宋体"/>
          <w:color w:val="auto"/>
          <w:spacing w:val="0"/>
          <w:szCs w:val="21"/>
        </w:rPr>
        <w:t>账    号：</w:t>
      </w:r>
    </w:p>
    <w:p w14:paraId="2900A53F">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电    话：                                 电    话：</w:t>
      </w:r>
    </w:p>
    <w:p w14:paraId="30807E1E">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传    真：                                 传    真：</w:t>
      </w:r>
    </w:p>
    <w:p w14:paraId="0CEC67A5">
      <w:pPr>
        <w:spacing w:line="360" w:lineRule="auto"/>
        <w:ind w:firstLine="420" w:firstLineChars="200"/>
        <w:outlineLvl w:val="9"/>
        <w:rPr>
          <w:rFonts w:ascii="宋体" w:hAnsi="宋体" w:cs="宋体"/>
          <w:color w:val="auto"/>
          <w:spacing w:val="0"/>
          <w:szCs w:val="21"/>
        </w:rPr>
      </w:pPr>
      <w:r>
        <w:rPr>
          <w:rFonts w:hint="eastAsia" w:ascii="宋体" w:hAnsi="宋体" w:cs="宋体"/>
          <w:color w:val="auto"/>
          <w:spacing w:val="0"/>
          <w:szCs w:val="21"/>
        </w:rPr>
        <w:t>签约日期：    年  月  日                   签约日期：    年  月  日</w:t>
      </w:r>
    </w:p>
    <w:p w14:paraId="37AC229F">
      <w:pPr>
        <w:spacing w:line="360" w:lineRule="auto"/>
        <w:ind w:firstLine="420" w:firstLineChars="200"/>
        <w:rPr>
          <w:rFonts w:ascii="宋体" w:hAnsi="宋体" w:cs="宋体"/>
          <w:color w:val="auto"/>
          <w:spacing w:val="0"/>
          <w:szCs w:val="21"/>
        </w:rPr>
      </w:pPr>
    </w:p>
    <w:p w14:paraId="14DEBD8C">
      <w:pPr>
        <w:rPr>
          <w:spacing w:val="0"/>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E4304">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1C476">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71C476">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F73EF"/>
    <w:rsid w:val="020C008E"/>
    <w:rsid w:val="08DF02AB"/>
    <w:rsid w:val="1E37603B"/>
    <w:rsid w:val="208F215E"/>
    <w:rsid w:val="20F33F94"/>
    <w:rsid w:val="2556149D"/>
    <w:rsid w:val="37B00EE0"/>
    <w:rsid w:val="43943464"/>
    <w:rsid w:val="471D19C3"/>
    <w:rsid w:val="4B842010"/>
    <w:rsid w:val="4E726A98"/>
    <w:rsid w:val="55CA644D"/>
    <w:rsid w:val="55E62245"/>
    <w:rsid w:val="5705494D"/>
    <w:rsid w:val="583B6BC9"/>
    <w:rsid w:val="5A146C55"/>
    <w:rsid w:val="5EA54320"/>
    <w:rsid w:val="5FCD3B2E"/>
    <w:rsid w:val="60343BAD"/>
    <w:rsid w:val="68356EDE"/>
    <w:rsid w:val="6A3A44B6"/>
    <w:rsid w:val="77A64F39"/>
    <w:rsid w:val="792F73EF"/>
    <w:rsid w:val="7AC905DA"/>
    <w:rsid w:val="7D775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adjustRightInd/>
      <w:snapToGrid/>
      <w:spacing w:beforeLines="0" w:beforeAutospacing="0" w:afterLines="0" w:afterAutospacing="0" w:line="360" w:lineRule="auto"/>
      <w:jc w:val="center"/>
      <w:outlineLvl w:val="0"/>
    </w:pPr>
    <w:rPr>
      <w:rFonts w:ascii="Arial" w:hAnsi="Arial" w:eastAsia="宋体"/>
      <w:b/>
      <w:kern w:val="44"/>
      <w:sz w:val="39"/>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2425</Words>
  <Characters>2460</Characters>
  <Lines>0</Lines>
  <Paragraphs>0</Paragraphs>
  <TotalTime>12</TotalTime>
  <ScaleCrop>false</ScaleCrop>
  <LinksUpToDate>false</LinksUpToDate>
  <CharactersWithSpaces>2591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2025-10-13T08:11:00Z</dcterms:created>
  <dc:creator>你若安好 那还了得</dc:creator>
  <cp:lastModifiedBy>筱雅</cp:lastModifiedBy>
  <dcterms:modified xsi:type="dcterms:W3CDTF">2025-10-24T02:30:23Z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9D3950720D634D43BB3922ECE473C2E4_11</vt:lpwstr>
  </property>
  <property fmtid="{D5CDD505-2E9C-101B-9397-08002B2CF9AE}" pid="4" name="KSOTemplateDocerSaveRecord">
    <vt:lpwstr>eyJoZGlkIjoiMzRjMDE5NzhkYmE5NTQ4NTAyYzY3YjJhNWYzZjk1ODkiLCJ1c2VySWQiOiI3NTM2MDkzMzcifQ==</vt:lpwstr>
  </property>
</Properties>
</file>