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版本号：ZCSP-渭南市-2025-00803、SCZB2025-CS-1896-220251111001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2025-2026年室外绿化养护项目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ZCSP-渭南市-2025-00803、SCZB2025-CS-1896-2</w:t>
      </w:r>
      <w:r>
        <w:br/>
      </w:r>
      <w:r>
        <w:br/>
      </w:r>
      <w:r>
        <w:br/>
      </w:r>
    </w:p>
    <w:p>
      <w:pPr>
        <w:pStyle w:val="null3"/>
        <w:jc w:val="center"/>
        <w:outlineLvl w:val="2"/>
      </w:pPr>
      <w:r>
        <w:rPr>
          <w:rFonts w:ascii="仿宋_GB2312" w:hAnsi="仿宋_GB2312" w:cs="仿宋_GB2312" w:eastAsia="仿宋_GB2312"/>
          <w:sz w:val="28"/>
          <w:b/>
        </w:rPr>
        <w:t>渭南市体育中心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渭南市体育中心</w:t>
      </w:r>
      <w:r>
        <w:rPr>
          <w:rFonts w:ascii="仿宋_GB2312" w:hAnsi="仿宋_GB2312" w:cs="仿宋_GB2312" w:eastAsia="仿宋_GB2312"/>
        </w:rPr>
        <w:t>委托，拟对</w:t>
      </w:r>
      <w:r>
        <w:rPr>
          <w:rFonts w:ascii="仿宋_GB2312" w:hAnsi="仿宋_GB2312" w:cs="仿宋_GB2312" w:eastAsia="仿宋_GB2312"/>
        </w:rPr>
        <w:t>2025-2026年室外绿化养护项目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ZCSP-渭南市-2025-00803、SCZB2025-CS-1896-2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2025-2026年室外绿化养护项目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渭南市体育中心室外绿化养护，通过养护，确保室外绿植生长旺盛、绿化环境舒适宜人。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采购包1（2025-2026年室外绿化养护项目）：属于专门面向小微企业采购。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渭南市乐天大街与渭清路十字西北角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渭南市体育中心经办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0913-3035711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熊磊、张学强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银行账号：103261567459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代理服务费收费标准：参照原国家计委计价格【2002】1980号文和国家发改委发改办价格【2003】857号文的计算方法（按采购包）收取。中标单位的招标代理服务费缴纳信息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渭南市体育中心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渭南市体育中心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渭南市体育中心室外绿化养护，通过养护，确保室外绿植生长旺盛、绿化环境舒适宜人。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645,000.00</w:t>
      </w:r>
    </w:p>
    <w:p>
      <w:pPr>
        <w:pStyle w:val="null3"/>
      </w:pPr>
      <w:r>
        <w:rPr>
          <w:rFonts w:ascii="仿宋_GB2312" w:hAnsi="仿宋_GB2312" w:cs="仿宋_GB2312" w:eastAsia="仿宋_GB2312"/>
        </w:rPr>
        <w:t>采购包最高限价（元）: 645,000.00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绿化养护服务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标的名称：绿化养护服务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color w:val="000000"/>
              </w:rPr>
              <w:t>一、基本要求</w:t>
            </w:r>
          </w:p>
          <w:p>
            <w:pPr>
              <w:pStyle w:val="null3"/>
              <w:ind w:firstLine="480"/>
              <w:jc w:val="both"/>
            </w:pPr>
            <w:r>
              <w:rPr>
                <w:rFonts w:ascii="仿宋_GB2312" w:hAnsi="仿宋_GB2312" w:cs="仿宋_GB2312" w:eastAsia="仿宋_GB2312"/>
                <w:color w:val="000000"/>
              </w:rPr>
              <w:t>1、功能要求：</w:t>
            </w:r>
          </w:p>
          <w:p>
            <w:pPr>
              <w:pStyle w:val="null3"/>
              <w:ind w:firstLine="480"/>
              <w:jc w:val="both"/>
            </w:pPr>
            <w:r>
              <w:rPr>
                <w:rFonts w:ascii="仿宋_GB2312" w:hAnsi="仿宋_GB2312" w:cs="仿宋_GB2312" w:eastAsia="仿宋_GB2312"/>
                <w:color w:val="000000"/>
              </w:rPr>
              <w:t>通过养护，确保室外绿植生长旺盛、绿化环境舒适宜人。</w:t>
            </w:r>
          </w:p>
          <w:p>
            <w:pPr>
              <w:pStyle w:val="null3"/>
              <w:ind w:firstLine="480"/>
              <w:jc w:val="both"/>
            </w:pPr>
            <w:r>
              <w:rPr>
                <w:rFonts w:ascii="仿宋_GB2312" w:hAnsi="仿宋_GB2312" w:cs="仿宋_GB2312" w:eastAsia="仿宋_GB2312"/>
                <w:color w:val="000000"/>
              </w:rPr>
              <w:t>2</w:t>
            </w:r>
            <w:r>
              <w:rPr>
                <w:rFonts w:ascii="仿宋_GB2312" w:hAnsi="仿宋_GB2312" w:cs="仿宋_GB2312" w:eastAsia="仿宋_GB2312"/>
                <w:color w:val="000000"/>
              </w:rPr>
              <w:t>、服务期限：</w:t>
            </w:r>
          </w:p>
          <w:p>
            <w:pPr>
              <w:pStyle w:val="null3"/>
              <w:ind w:firstLine="480"/>
              <w:jc w:val="both"/>
            </w:pPr>
            <w:r>
              <w:rPr>
                <w:rFonts w:ascii="仿宋_GB2312" w:hAnsi="仿宋_GB2312" w:cs="仿宋_GB2312" w:eastAsia="仿宋_GB2312"/>
                <w:color w:val="000000"/>
              </w:rPr>
              <w:t>合同签订后一年。</w:t>
            </w:r>
          </w:p>
          <w:p>
            <w:pPr>
              <w:pStyle w:val="null3"/>
              <w:ind w:firstLine="480"/>
              <w:jc w:val="both"/>
            </w:pPr>
            <w:r>
              <w:rPr>
                <w:rFonts w:ascii="仿宋_GB2312" w:hAnsi="仿宋_GB2312" w:cs="仿宋_GB2312" w:eastAsia="仿宋_GB2312"/>
                <w:color w:val="000000"/>
              </w:rPr>
              <w:t>3</w:t>
            </w:r>
            <w:r>
              <w:rPr>
                <w:rFonts w:ascii="仿宋_GB2312" w:hAnsi="仿宋_GB2312" w:cs="仿宋_GB2312" w:eastAsia="仿宋_GB2312"/>
                <w:color w:val="000000"/>
              </w:rPr>
              <w:t>、服务地点：</w:t>
            </w:r>
          </w:p>
          <w:p>
            <w:pPr>
              <w:pStyle w:val="null3"/>
              <w:ind w:firstLine="480"/>
              <w:jc w:val="both"/>
            </w:pPr>
            <w:r>
              <w:rPr>
                <w:rFonts w:ascii="仿宋_GB2312" w:hAnsi="仿宋_GB2312" w:cs="仿宋_GB2312" w:eastAsia="仿宋_GB2312"/>
                <w:color w:val="000000"/>
              </w:rPr>
              <w:t>渭南市体育中心园区内。</w:t>
            </w:r>
          </w:p>
          <w:p>
            <w:pPr>
              <w:pStyle w:val="null3"/>
              <w:ind w:firstLine="482"/>
              <w:jc w:val="both"/>
            </w:pPr>
            <w:r>
              <w:rPr>
                <w:rFonts w:ascii="仿宋_GB2312" w:hAnsi="仿宋_GB2312" w:cs="仿宋_GB2312" w:eastAsia="仿宋_GB2312"/>
                <w:b/>
                <w:color w:val="000000"/>
              </w:rPr>
              <w:t>二、需执行的国家相关标准、行业标准、地方标准或者其他标准、规范标准</w:t>
            </w:r>
          </w:p>
          <w:p>
            <w:pPr>
              <w:pStyle w:val="null3"/>
              <w:ind w:firstLine="480"/>
              <w:jc w:val="both"/>
            </w:pPr>
            <w:r>
              <w:rPr>
                <w:rFonts w:ascii="仿宋_GB2312" w:hAnsi="仿宋_GB2312" w:cs="仿宋_GB2312" w:eastAsia="仿宋_GB2312"/>
                <w:color w:val="000000"/>
              </w:rPr>
              <w:t>本项目专门面向小微企业采购，供应商应为小微企业或监狱企业或残疾人福利性单位。</w:t>
            </w:r>
          </w:p>
          <w:p>
            <w:pPr>
              <w:pStyle w:val="null3"/>
              <w:ind w:firstLine="482"/>
              <w:jc w:val="both"/>
            </w:pPr>
            <w:r>
              <w:rPr>
                <w:rFonts w:ascii="仿宋_GB2312" w:hAnsi="仿宋_GB2312" w:cs="仿宋_GB2312" w:eastAsia="仿宋_GB2312"/>
                <w:b/>
                <w:color w:val="000000"/>
              </w:rPr>
              <w:t>三、服务指标的具体要求</w:t>
            </w:r>
          </w:p>
          <w:p>
            <w:pPr>
              <w:pStyle w:val="null3"/>
              <w:ind w:firstLine="480"/>
              <w:jc w:val="both"/>
            </w:pPr>
            <w:r>
              <w:rPr>
                <w:rFonts w:ascii="仿宋_GB2312" w:hAnsi="仿宋_GB2312" w:cs="仿宋_GB2312" w:eastAsia="仿宋_GB2312"/>
                <w:color w:val="000000"/>
              </w:rPr>
              <w:t>1、养护内容</w:t>
            </w:r>
          </w:p>
          <w:p>
            <w:pPr>
              <w:pStyle w:val="null3"/>
              <w:ind w:firstLine="480"/>
              <w:jc w:val="both"/>
            </w:pPr>
            <w:r>
              <w:rPr>
                <w:rFonts w:ascii="仿宋_GB2312" w:hAnsi="仿宋_GB2312" w:cs="仿宋_GB2312" w:eastAsia="仿宋_GB2312"/>
                <w:color w:val="000000"/>
              </w:rPr>
              <w:t>体育中心园区范围内乔灌木、草坪等绿化养护。</w:t>
            </w:r>
          </w:p>
          <w:p>
            <w:pPr>
              <w:pStyle w:val="null3"/>
              <w:ind w:firstLine="480"/>
              <w:jc w:val="both"/>
            </w:pPr>
            <w:r>
              <w:rPr>
                <w:rFonts w:ascii="仿宋_GB2312" w:hAnsi="仿宋_GB2312" w:cs="仿宋_GB2312" w:eastAsia="仿宋_GB2312"/>
                <w:color w:val="000000"/>
              </w:rPr>
              <w:t>2、养护标准</w:t>
            </w:r>
          </w:p>
          <w:p>
            <w:pPr>
              <w:pStyle w:val="null3"/>
              <w:ind w:firstLine="480"/>
              <w:jc w:val="both"/>
            </w:pPr>
            <w:r>
              <w:rPr>
                <w:rFonts w:ascii="仿宋_GB2312" w:hAnsi="仿宋_GB2312" w:cs="仿宋_GB2312" w:eastAsia="仿宋_GB2312"/>
                <w:color w:val="000000"/>
              </w:rPr>
              <w:t>按照不同季节要求做好修剪、除草、施肥、浇水、垃圾清理等日常养护及重大活动期间绿化养护。</w:t>
            </w:r>
          </w:p>
          <w:p>
            <w:pPr>
              <w:pStyle w:val="null3"/>
              <w:ind w:firstLine="480"/>
              <w:jc w:val="both"/>
            </w:pPr>
            <w:r>
              <w:rPr>
                <w:rFonts w:ascii="仿宋_GB2312" w:hAnsi="仿宋_GB2312" w:cs="仿宋_GB2312" w:eastAsia="仿宋_GB2312"/>
                <w:color w:val="000000"/>
              </w:rPr>
              <w:t>3、养护明细</w:t>
            </w:r>
          </w:p>
          <w:tbl>
            <w:tblPr>
              <w:tblBorders>
                <w:top w:val="none" w:color="000000" w:sz="4"/>
                <w:left w:val="none" w:color="000000" w:sz="4"/>
                <w:bottom w:val="none" w:color="000000" w:sz="4"/>
                <w:right w:val="none" w:color="000000" w:sz="4"/>
                <w:insideH w:val="none"/>
                <w:insideV w:val="none"/>
              </w:tblBorders>
            </w:tblPr>
            <w:tblGrid>
              <w:gridCol w:w="300"/>
              <w:gridCol w:w="406"/>
              <w:gridCol w:w="1126"/>
              <w:gridCol w:w="381"/>
              <w:gridCol w:w="331"/>
            </w:tblGrid>
            <w:tr>
              <w:tc>
                <w:tcPr>
                  <w:tcW w:type="dxa" w:w="300"/>
                  <w:vMerge w:val="restart"/>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序号</w:t>
                  </w:r>
                </w:p>
              </w:tc>
              <w:tc>
                <w:tcPr>
                  <w:tcW w:type="dxa" w:w="406"/>
                  <w:vMerge w:val="restart"/>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名称</w:t>
                  </w:r>
                </w:p>
              </w:tc>
              <w:tc>
                <w:tcPr>
                  <w:tcW w:type="dxa" w:w="1126"/>
                  <w:vMerge w:val="restart"/>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工作内容</w:t>
                  </w:r>
                </w:p>
              </w:tc>
              <w:tc>
                <w:tcPr>
                  <w:tcW w:type="dxa" w:w="381"/>
                  <w:vMerge w:val="restart"/>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数量</w:t>
                  </w:r>
                </w:p>
              </w:tc>
              <w:tc>
                <w:tcPr>
                  <w:tcW w:type="dxa" w:w="331"/>
                  <w:vMerge w:val="restart"/>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单位</w:t>
                  </w:r>
                </w:p>
              </w:tc>
            </w:tr>
            <w:tr>
              <w:tc>
                <w:tcPr>
                  <w:tcW w:type="dxa" w:w="300"/>
                  <w:vMerge/>
                  <w:tcBorders>
                    <w:top w:val="single" w:color="000000" w:sz="4"/>
                    <w:left w:val="single" w:color="000000" w:sz="4"/>
                    <w:bottom w:val="single" w:color="000000" w:sz="4"/>
                    <w:right w:val="single" w:color="000000" w:sz="4"/>
                  </w:tcBorders>
                </w:tcPr>
                <w:p/>
              </w:tc>
              <w:tc>
                <w:tcPr>
                  <w:tcW w:type="dxa" w:w="406"/>
                  <w:vMerge/>
                  <w:tcBorders>
                    <w:top w:val="single" w:color="000000" w:sz="4"/>
                    <w:left w:val="none" w:color="000000" w:sz="4"/>
                    <w:bottom w:val="single" w:color="000000" w:sz="4"/>
                    <w:right w:val="single" w:color="000000" w:sz="4"/>
                  </w:tcBorders>
                </w:tcPr>
                <w:p/>
              </w:tc>
              <w:tc>
                <w:tcPr>
                  <w:tcW w:type="dxa" w:w="1126"/>
                  <w:vMerge/>
                  <w:tcBorders>
                    <w:top w:val="single" w:color="000000" w:sz="4"/>
                    <w:left w:val="none" w:color="000000" w:sz="4"/>
                    <w:bottom w:val="single" w:color="000000" w:sz="4"/>
                    <w:right w:val="single" w:color="000000" w:sz="4"/>
                  </w:tcBorders>
                </w:tcPr>
                <w:p/>
              </w:tc>
              <w:tc>
                <w:tcPr>
                  <w:tcW w:type="dxa" w:w="381"/>
                  <w:vMerge/>
                  <w:tcBorders>
                    <w:top w:val="single" w:color="000000" w:sz="4"/>
                    <w:left w:val="none" w:color="000000" w:sz="4"/>
                    <w:bottom w:val="single" w:color="000000" w:sz="4"/>
                    <w:right w:val="single" w:color="000000" w:sz="4"/>
                  </w:tcBorders>
                </w:tcPr>
                <w:p/>
              </w:tc>
              <w:tc>
                <w:tcPr>
                  <w:tcW w:type="dxa" w:w="331"/>
                  <w:vMerge/>
                  <w:tcBorders>
                    <w:top w:val="single" w:color="000000" w:sz="4"/>
                    <w:left w:val="none" w:color="000000" w:sz="4"/>
                    <w:bottom w:val="single" w:color="000000" w:sz="4"/>
                    <w:right w:val="single" w:color="000000" w:sz="4"/>
                  </w:tcBorders>
                </w:tcPr>
                <w:p/>
              </w:tc>
            </w:tr>
            <w:tr>
              <w:tc>
                <w:tcPr>
                  <w:tcW w:type="dxa" w:w="30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40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乔木</w:t>
                  </w:r>
                </w:p>
              </w:tc>
              <w:tc>
                <w:tcPr>
                  <w:tcW w:type="dxa" w:w="11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乔木及果树全年维护管理</w:t>
                  </w:r>
                </w:p>
              </w:tc>
              <w:tc>
                <w:tcPr>
                  <w:tcW w:type="dxa" w:w="38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3814</w:t>
                  </w:r>
                </w:p>
              </w:tc>
              <w:tc>
                <w:tcPr>
                  <w:tcW w:type="dxa" w:w="33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株</w:t>
                  </w:r>
                </w:p>
              </w:tc>
            </w:tr>
            <w:tr>
              <w:tc>
                <w:tcPr>
                  <w:tcW w:type="dxa" w:w="30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2</w:t>
                  </w:r>
                </w:p>
              </w:tc>
              <w:tc>
                <w:tcPr>
                  <w:tcW w:type="dxa" w:w="40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灌木</w:t>
                  </w:r>
                </w:p>
              </w:tc>
              <w:tc>
                <w:tcPr>
                  <w:tcW w:type="dxa" w:w="11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灌木全年维护管理</w:t>
                  </w:r>
                </w:p>
              </w:tc>
              <w:tc>
                <w:tcPr>
                  <w:tcW w:type="dxa" w:w="38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450</w:t>
                  </w:r>
                </w:p>
              </w:tc>
              <w:tc>
                <w:tcPr>
                  <w:tcW w:type="dxa" w:w="33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株</w:t>
                  </w:r>
                </w:p>
              </w:tc>
            </w:tr>
            <w:tr>
              <w:tc>
                <w:tcPr>
                  <w:tcW w:type="dxa" w:w="30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3</w:t>
                  </w:r>
                </w:p>
              </w:tc>
              <w:tc>
                <w:tcPr>
                  <w:tcW w:type="dxa" w:w="40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色带</w:t>
                  </w:r>
                </w:p>
              </w:tc>
              <w:tc>
                <w:tcPr>
                  <w:tcW w:type="dxa" w:w="11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 xml:space="preserve"> 色带全年维护管理</w:t>
                  </w:r>
                </w:p>
              </w:tc>
              <w:tc>
                <w:tcPr>
                  <w:tcW w:type="dxa" w:w="38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1500</w:t>
                  </w:r>
                </w:p>
              </w:tc>
              <w:tc>
                <w:tcPr>
                  <w:tcW w:type="dxa" w:w="33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w:t>
                  </w:r>
                </w:p>
              </w:tc>
            </w:tr>
            <w:tr>
              <w:tc>
                <w:tcPr>
                  <w:tcW w:type="dxa" w:w="30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4</w:t>
                  </w:r>
                </w:p>
              </w:tc>
              <w:tc>
                <w:tcPr>
                  <w:tcW w:type="dxa" w:w="40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草坪</w:t>
                  </w:r>
                </w:p>
              </w:tc>
              <w:tc>
                <w:tcPr>
                  <w:tcW w:type="dxa" w:w="11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草坪全年维护管理</w:t>
                  </w:r>
                </w:p>
              </w:tc>
              <w:tc>
                <w:tcPr>
                  <w:tcW w:type="dxa" w:w="38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58600</w:t>
                  </w:r>
                </w:p>
              </w:tc>
              <w:tc>
                <w:tcPr>
                  <w:tcW w:type="dxa" w:w="33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w:t>
                  </w:r>
                </w:p>
              </w:tc>
            </w:tr>
            <w:tr>
              <w:tc>
                <w:tcPr>
                  <w:tcW w:type="dxa" w:w="30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5</w:t>
                  </w:r>
                </w:p>
              </w:tc>
              <w:tc>
                <w:tcPr>
                  <w:tcW w:type="dxa" w:w="40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绿篱</w:t>
                  </w:r>
                </w:p>
              </w:tc>
              <w:tc>
                <w:tcPr>
                  <w:tcW w:type="dxa" w:w="11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绿篱后期管理</w:t>
                  </w:r>
                </w:p>
              </w:tc>
              <w:tc>
                <w:tcPr>
                  <w:tcW w:type="dxa" w:w="38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9800</w:t>
                  </w:r>
                </w:p>
              </w:tc>
              <w:tc>
                <w:tcPr>
                  <w:tcW w:type="dxa" w:w="33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w:t>
                  </w:r>
                </w:p>
              </w:tc>
            </w:tr>
            <w:tr>
              <w:tc>
                <w:tcPr>
                  <w:tcW w:type="dxa" w:w="2544"/>
                  <w:gridSpan w:val="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ind w:firstLine="480"/>
                    <w:jc w:val="both"/>
                  </w:pPr>
                  <w:r>
                    <w:rPr>
                      <w:rFonts w:ascii="仿宋_GB2312" w:hAnsi="仿宋_GB2312" w:cs="仿宋_GB2312" w:eastAsia="仿宋_GB2312"/>
                      <w:sz w:val="19"/>
                      <w:color w:val="000000"/>
                    </w:rPr>
                    <w:t>备注：绿化养护内容包括但不限于浇水、修剪、除草、施肥、防虫、除虫、松土、乔木修枝等。</w:t>
                  </w:r>
                </w:p>
              </w:tc>
            </w:tr>
          </w:tbl>
          <w:p>
            <w:pPr>
              <w:pStyle w:val="null3"/>
              <w:ind w:firstLine="480"/>
              <w:jc w:val="both"/>
            </w:pPr>
            <w:r>
              <w:rPr>
                <w:rFonts w:ascii="仿宋_GB2312" w:hAnsi="仿宋_GB2312" w:cs="仿宋_GB2312" w:eastAsia="仿宋_GB2312"/>
                <w:color w:val="000000"/>
              </w:rPr>
              <w:t>4、养护验收</w:t>
            </w:r>
          </w:p>
          <w:p>
            <w:pPr>
              <w:pStyle w:val="null3"/>
              <w:ind w:firstLine="480"/>
              <w:jc w:val="both"/>
            </w:pPr>
            <w:r>
              <w:rPr>
                <w:rFonts w:ascii="仿宋_GB2312" w:hAnsi="仿宋_GB2312" w:cs="仿宋_GB2312" w:eastAsia="仿宋_GB2312"/>
                <w:color w:val="000000"/>
              </w:rPr>
              <w:t>养护公司每周陪同体育中心人员进行养护验收，并出具验收报告，发现问题及时处理，每月出具养护报告。</w:t>
            </w:r>
          </w:p>
          <w:p>
            <w:pPr>
              <w:pStyle w:val="null3"/>
              <w:ind w:firstLine="482"/>
              <w:jc w:val="both"/>
            </w:pPr>
            <w:r>
              <w:rPr>
                <w:rFonts w:ascii="仿宋_GB2312" w:hAnsi="仿宋_GB2312" w:cs="仿宋_GB2312" w:eastAsia="仿宋_GB2312"/>
                <w:b/>
                <w:color w:val="000000"/>
              </w:rPr>
              <w:t>四、拟投入本项目的费用测算</w:t>
            </w:r>
          </w:p>
          <w:p>
            <w:pPr>
              <w:pStyle w:val="null3"/>
              <w:ind w:firstLine="480"/>
              <w:jc w:val="both"/>
            </w:pPr>
            <w:r>
              <w:rPr>
                <w:rFonts w:ascii="仿宋_GB2312" w:hAnsi="仿宋_GB2312" w:cs="仿宋_GB2312" w:eastAsia="仿宋_GB2312"/>
                <w:color w:val="000000"/>
              </w:rPr>
              <w:t>本项目总投资64.50万元，包括完成本次项目所需的设备费、人工费、服务费、管理费、专家咨询费、税金等所有费用。</w:t>
            </w:r>
          </w:p>
          <w:p>
            <w:pPr>
              <w:pStyle w:val="null3"/>
              <w:ind w:firstLine="482"/>
              <w:jc w:val="both"/>
            </w:pPr>
            <w:r>
              <w:rPr>
                <w:rFonts w:ascii="仿宋_GB2312" w:hAnsi="仿宋_GB2312" w:cs="仿宋_GB2312" w:eastAsia="仿宋_GB2312"/>
                <w:b/>
                <w:color w:val="000000"/>
              </w:rPr>
              <w:t>五、服务质量、标准、期限、效率等</w:t>
            </w:r>
          </w:p>
          <w:p>
            <w:pPr>
              <w:pStyle w:val="null3"/>
              <w:ind w:firstLine="480"/>
              <w:jc w:val="both"/>
            </w:pPr>
            <w:r>
              <w:rPr>
                <w:rFonts w:ascii="仿宋_GB2312" w:hAnsi="仿宋_GB2312" w:cs="仿宋_GB2312" w:eastAsia="仿宋_GB2312"/>
                <w:color w:val="000000"/>
              </w:rPr>
              <w:t>合同签订后一年内按采购人要求完成所有养护内容。</w:t>
            </w:r>
          </w:p>
          <w:p>
            <w:pPr>
              <w:pStyle w:val="null3"/>
              <w:ind w:firstLine="482"/>
              <w:jc w:val="both"/>
            </w:pPr>
            <w:r>
              <w:rPr>
                <w:rFonts w:ascii="仿宋_GB2312" w:hAnsi="仿宋_GB2312" w:cs="仿宋_GB2312" w:eastAsia="仿宋_GB2312"/>
                <w:b/>
                <w:color w:val="000000"/>
              </w:rPr>
              <w:t>六、付款方式</w:t>
            </w:r>
          </w:p>
          <w:p>
            <w:pPr>
              <w:pStyle w:val="null3"/>
              <w:ind w:firstLine="480"/>
              <w:jc w:val="both"/>
            </w:pPr>
            <w:r>
              <w:rPr>
                <w:rFonts w:ascii="仿宋_GB2312" w:hAnsi="仿宋_GB2312" w:cs="仿宋_GB2312" w:eastAsia="仿宋_GB2312"/>
                <w:color w:val="000000"/>
              </w:rPr>
              <w:t>合同签订生效后15个工作日支付全款。</w:t>
            </w:r>
          </w:p>
          <w:p>
            <w:pPr>
              <w:pStyle w:val="null3"/>
              <w:ind w:firstLine="482"/>
              <w:jc w:val="both"/>
            </w:pPr>
            <w:r>
              <w:rPr>
                <w:rFonts w:ascii="仿宋_GB2312" w:hAnsi="仿宋_GB2312" w:cs="仿宋_GB2312" w:eastAsia="仿宋_GB2312"/>
                <w:b/>
                <w:color w:val="000000"/>
              </w:rPr>
              <w:t>七、验收标准</w:t>
            </w:r>
          </w:p>
          <w:p>
            <w:pPr>
              <w:pStyle w:val="null3"/>
              <w:ind w:firstLine="480"/>
              <w:jc w:val="both"/>
            </w:pPr>
            <w:r>
              <w:rPr>
                <w:rFonts w:ascii="仿宋_GB2312" w:hAnsi="仿宋_GB2312" w:cs="仿宋_GB2312" w:eastAsia="仿宋_GB2312"/>
                <w:color w:val="000000"/>
              </w:rPr>
              <w:t>依据竞争性磋商文件、磋商响应文件、成交通知书、合同文件及国家相关规范及标准进行验收。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渭南市体育中心园区内。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依据竞争性磋商文件、磋商响应文件、成交通知书、合同文件及国家相关规范及标准进行验收。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供应商需在项目电子化交易系统中按要求填写《响应函》完成承诺并在资格证明材料中进行响应，同时进行电子签章。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资信证明须为递交响应文件截止时间前三个月内由供应商基本账户开户银行出具（须提供基本开户信息）。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供应商需在项目电子化交易系统中按要求填写《响应函》完成承诺并在资格证明材料中进行响应，同时进行电子签章。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本项目专门面向小微企业，供应商应为小微企业或监狱企业或残疾人福利性单位。</w:t>
            </w:r>
          </w:p>
        </w:tc>
        <w:tc>
          <w:tcPr>
            <w:tcW w:type="dxa" w:w="1661"/>
          </w:tcPr>
          <w:p>
            <w:pPr>
              <w:pStyle w:val="null3"/>
            </w:pPr>
            <w:r>
              <w:rPr>
                <w:rFonts w:ascii="仿宋_GB2312" w:hAnsi="仿宋_GB2312" w:cs="仿宋_GB2312" w:eastAsia="仿宋_GB2312"/>
              </w:rPr>
              <w:t>监狱企业的证明文件.docx 残疾人福利性单位声明函 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响应文件封面 监狱企业的证明文件.docx 服务内容及服务邀请应答表 供应商应提交的相关资格证明材料.docx 中小企业声明函 残疾人福利性单位声明函 商务应答表 服务方案 标的清单 承诺书.docx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响应文件封面 监狱企业的证明文件.docx 服务内容及服务邀请应答表 供应商应提交的相关资格证明材料.docx 中小企业声明函 残疾人福利性单位声明函 商务应答表 服务方案 标的清单 承诺书.docx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合理报价</w:t>
            </w:r>
          </w:p>
        </w:tc>
        <w:tc>
          <w:tcPr>
            <w:tcW w:type="dxa" w:w="3322"/>
          </w:tcPr>
          <w:p>
            <w:pPr>
              <w:pStyle w:val="null3"/>
            </w:pPr>
            <w:r>
              <w:rPr>
                <w:rFonts w:ascii="仿宋_GB2312" w:hAnsi="仿宋_GB2312" w:cs="仿宋_GB2312" w:eastAsia="仿宋_GB2312"/>
              </w:rPr>
              <w:t>响应报价未与市场价偏离较大，低于成本，形成不正当竞争</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根据供应商针对本项目的绿化养护服务方案各部分内容全面详细、阐述条理清晰详尽、符合本项目采购需求。内容至少包括①承包区域内的绿化养护服务方案（包括浇水、施肥、修剪、整形、除杂草等）；②绿化养护作业工作组织方案；③对绿化养护承包区内环境设施的维护管理方案（包括各类配套设施的养护管理等）；④有补栽所需苗木的供应保障方案；⑤结合季节变化及各类园林植物特性的养护计划；⑥绿化养护作业产生的垃圾清理方案；⑦病虫害防治方案；⑧相关投诉的处理方案等。 评审标准:上述每项方案内容无缺陷得3分，满分为24分。方案内容每存在1处缺陷：扣0.5分，扣完为止；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根据供应商针对本项目的服务保障措施各部分内容全面详细、阐述条理清晰详尽、符合本项目采购需求。内容至少包括①确保服务质量的组织措施；②绿化养护机械、设备操作安全保障措施；③确保每日项目实施进度的组织措施；④服务人员安全保障措 施等。 评审标准：上述每项方案内容无缺陷得3分，满分为12分。方案内容每存在1处缺陷：扣0.5分，扣完为止；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评审内容：根据供应商针对本项目提供的应急保障措施，包含但不限于①暴雨、冰冻灾害等突发性恶劣天气影响应急预案；②重大节假日或活动应急预案；③安全事故处理预案；④重大接待、检查任务应急预案；⑤重点植物关注措施及异常植物处置措施等。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人员及设备</w:t>
            </w:r>
          </w:p>
        </w:tc>
        <w:tc>
          <w:tcPr>
            <w:tcW w:type="dxa" w:w="2492"/>
          </w:tcPr>
          <w:p>
            <w:pPr>
              <w:pStyle w:val="null3"/>
            </w:pPr>
            <w:r>
              <w:rPr>
                <w:rFonts w:ascii="仿宋_GB2312" w:hAnsi="仿宋_GB2312" w:cs="仿宋_GB2312" w:eastAsia="仿宋_GB2312"/>
              </w:rPr>
              <w:t>提供针对本项目的人员配备方案；人员配备齐全、分工合理、责任明确，得6分； 人员配备较全、分工较合理、责任较明确，得4分； 人员配备不足、分工不合理、责任不明确，得2分。 不满足项目要求及严重缺漏不得分。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人员的培训计划及培训方案</w:t>
            </w:r>
          </w:p>
        </w:tc>
        <w:tc>
          <w:tcPr>
            <w:tcW w:type="dxa" w:w="2492"/>
          </w:tcPr>
          <w:p>
            <w:pPr>
              <w:pStyle w:val="null3"/>
            </w:pPr>
            <w:r>
              <w:rPr>
                <w:rFonts w:ascii="仿宋_GB2312" w:hAnsi="仿宋_GB2312" w:cs="仿宋_GB2312" w:eastAsia="仿宋_GB2312"/>
              </w:rPr>
              <w:t>评审内容：根据供应商针对本项目提供的人员的培训计划及培训方案，包含但不限于①培训目的；②培训对象；③培训方式；④培训队伍；⑤培训内容等。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评审内容:根据供应商针对本项目的内部管理制度 各部分内容全面详细、阐述条理清晰详尽、符合本项目采购需求。内容至少包括①养护资料档案管理制度；②人员管理制度：具有员工日常管理办法、考勤管理；③服务自检制度等。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承诺接受采购人对服务的考核、监督及管理，定期调研采购人对服务质量的满意度并加以改进，确保服务工作的优质高效，得2分，未达到上述要求，得0分。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承诺上岗人员固定不随意更换,若出现服务人员因事、病等不能工作的，及时调整其他服务人员补充，确保服务工作的正常进行，得2分，未达到上述要求，得0分。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服务承诺3</w:t>
            </w:r>
          </w:p>
        </w:tc>
        <w:tc>
          <w:tcPr>
            <w:tcW w:type="dxa" w:w="2492"/>
          </w:tcPr>
          <w:p>
            <w:pPr>
              <w:pStyle w:val="null3"/>
            </w:pPr>
            <w:r>
              <w:rPr>
                <w:rFonts w:ascii="仿宋_GB2312" w:hAnsi="仿宋_GB2312" w:cs="仿宋_GB2312" w:eastAsia="仿宋_GB2312"/>
              </w:rPr>
              <w:t>承诺遵守采购方的规章制度及绿化养护管理规定，服从管理，人员培训，按国家规定向有关部门缴纳 各种费用、为本项目的作业人员缴纳社会保险、工伤保险或人身意外伤害保险(以国家有关规定为准)，得2分，未达到上述要求，得0分。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供应商2022年11月至今具有类似项目业绩，每提供1个得2分，满分6分。 评审依据：以合同签订时间为准，提供合同复印件加盖公章。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20（磋商小组认为供应商的最终报价明显低于其他通过符合性审查供应商的报价，有可能影响服务质量或者不能诚信履约的，应当在磋商现场提供书面说明及相关证明材料。供应商不能证明其报价合理性的，为无效磋商） 注：本项目已专门面向小微企业，对小微企业、监狱企业、残疾人福利性单位不再给予价格扣除，供应商需如实填写《中小企业声明函》。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