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版本号：ZCSP-渭南市-2025-00819、DLCG2025-08220251112001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就业信息网络及基础设施安全运行保障维护服务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ZCSP-渭南市-2025-00819、DLCG2025-082</w:t>
      </w:r>
      <w:r>
        <w:br/>
      </w:r>
      <w:r>
        <w:br/>
      </w:r>
      <w:r>
        <w:br/>
      </w:r>
    </w:p>
    <w:p>
      <w:pPr>
        <w:pStyle w:val="null3"/>
        <w:jc w:val="center"/>
        <w:outlineLvl w:val="2"/>
      </w:pPr>
      <w:r>
        <w:rPr>
          <w:rFonts w:ascii="仿宋_GB2312" w:hAnsi="仿宋_GB2312" w:cs="仿宋_GB2312" w:eastAsia="仿宋_GB2312"/>
          <w:sz w:val="28"/>
          <w:b/>
        </w:rPr>
        <w:t>渭南市人力资源和社会保障局</w:t>
      </w:r>
    </w:p>
    <w:p>
      <w:pPr>
        <w:pStyle w:val="null3"/>
        <w:jc w:val="center"/>
        <w:outlineLvl w:val="2"/>
      </w:pPr>
      <w:r>
        <w:rPr>
          <w:rFonts w:ascii="仿宋_GB2312" w:hAnsi="仿宋_GB2312" w:cs="仿宋_GB2312" w:eastAsia="仿宋_GB2312"/>
          <w:sz w:val="28"/>
          <w:b/>
        </w:rPr>
        <w:t>陕西鼎力中创项目管理有限公司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陕西鼎力中创项目管理有限公司</w:t>
      </w:r>
      <w:r>
        <w:rPr>
          <w:rFonts w:ascii="仿宋_GB2312" w:hAnsi="仿宋_GB2312" w:cs="仿宋_GB2312" w:eastAsia="仿宋_GB2312"/>
        </w:rPr>
        <w:t>（以下简称“代理机构”）受</w:t>
      </w:r>
      <w:r>
        <w:rPr>
          <w:rFonts w:ascii="仿宋_GB2312" w:hAnsi="仿宋_GB2312" w:cs="仿宋_GB2312" w:eastAsia="仿宋_GB2312"/>
        </w:rPr>
        <w:t>渭南市人力资源和社会保障局</w:t>
      </w:r>
      <w:r>
        <w:rPr>
          <w:rFonts w:ascii="仿宋_GB2312" w:hAnsi="仿宋_GB2312" w:cs="仿宋_GB2312" w:eastAsia="仿宋_GB2312"/>
        </w:rPr>
        <w:t>委托，拟对</w:t>
      </w:r>
      <w:r>
        <w:rPr>
          <w:rFonts w:ascii="仿宋_GB2312" w:hAnsi="仿宋_GB2312" w:cs="仿宋_GB2312" w:eastAsia="仿宋_GB2312"/>
        </w:rPr>
        <w:t>就业信息网络及基础设施安全运行保障维护服务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ZCSP-渭南市-2025-00819、DLCG2025-082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就业信息网络及基础设施安全运行保障维护服务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就业信息网络及基础设施安全运行保障维护服务。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或授权代表身份证明：供应商应授权合法的人员参加磋商全过程，其中法定代表人（负责人）直接参加的，须提供法定代表人（负责人）身份证明，并与营业执照上信息一致。法定代表人（负责人）授权代表参加的，须提供法定代表人（负责人）授权书及授权代表身份证明；</w:t>
      </w:r>
    </w:p>
    <w:p>
      <w:pPr>
        <w:pStyle w:val="null3"/>
      </w:pPr>
      <w:r>
        <w:rPr>
          <w:rFonts w:ascii="仿宋_GB2312" w:hAnsi="仿宋_GB2312" w:cs="仿宋_GB2312" w:eastAsia="仿宋_GB2312"/>
        </w:rPr>
        <w:t>2、信用信息：供应商未列入“信用中国”网站(www.creditchina.gov.cn)失信被执行人、重大税收违法失信主体、政府采购严重违法失信行为记录名单和“中国政府采购网”(www.ccgp.gov.cn)政府采购严重违法失信行为记录名单；</w:t>
      </w:r>
    </w:p>
    <w:p>
      <w:pPr>
        <w:pStyle w:val="null3"/>
      </w:pPr>
      <w:r>
        <w:rPr>
          <w:rFonts w:ascii="仿宋_GB2312" w:hAnsi="仿宋_GB2312" w:cs="仿宋_GB2312" w:eastAsia="仿宋_GB2312"/>
        </w:rPr>
        <w:t>3、供应商不得存在下列情形：单位负责人为同一人或者存在直接控股、管理关系的不同供应商不得参加同一合同项下的政府采购活动。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渭南市人力资源和社会保障局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渭南市朝阳大街东段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0913-2363190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陕西鼎力中创项目管理有限公司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陕西省渭南市临渭区乐天大街碧桂园翡翠公馆北门11栋商铺2层208号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0913-2185335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开户名称：陕西鼎力中创项目管理有限公司</w:t>
            </w:r>
          </w:p>
          <w:p>
            <w:pPr>
              <w:pStyle w:val="null3"/>
            </w:pPr>
            <w:r>
              <w:rPr>
                <w:rFonts w:ascii="仿宋_GB2312" w:hAnsi="仿宋_GB2312" w:cs="仿宋_GB2312" w:eastAsia="仿宋_GB2312"/>
              </w:rPr>
              <w:t>开户银行：工行渭南仓程路支行</w:t>
            </w:r>
          </w:p>
          <w:p>
            <w:pPr>
              <w:pStyle w:val="null3"/>
            </w:pPr>
            <w:r>
              <w:rPr>
                <w:rFonts w:ascii="仿宋_GB2312" w:hAnsi="仿宋_GB2312" w:cs="仿宋_GB2312" w:eastAsia="仿宋_GB2312"/>
              </w:rPr>
              <w:t>银行账号：2605 0259 1910 0033 019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 857号）的有关规定标准，成交供应商向采购代理机构一次付清采购代理服务费。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渭南市人力资源和社会保障局</w:t>
      </w:r>
      <w:r>
        <w:rPr>
          <w:rFonts w:ascii="仿宋_GB2312" w:hAnsi="仿宋_GB2312" w:cs="仿宋_GB2312" w:eastAsia="仿宋_GB2312"/>
        </w:rPr>
        <w:t>和</w:t>
      </w:r>
      <w:r>
        <w:rPr>
          <w:rFonts w:ascii="仿宋_GB2312" w:hAnsi="仿宋_GB2312" w:cs="仿宋_GB2312" w:eastAsia="仿宋_GB2312"/>
        </w:rPr>
        <w:t>陕西鼎力中创项目管理有限公司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渭南市人力资源和社会保障局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陕西鼎力中创项目管理有限公司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渭南市人力资源和社会保障局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陕西鼎力中创项目管理有限公司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符合国家法律法规规定，同时满足采购文件及采购响应文件中明确的技术标准与要求。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联系人：毛丹</w:t>
      </w:r>
    </w:p>
    <w:p>
      <w:pPr>
        <w:pStyle w:val="null3"/>
      </w:pPr>
      <w:r>
        <w:rPr>
          <w:rFonts w:ascii="仿宋_GB2312" w:hAnsi="仿宋_GB2312" w:cs="仿宋_GB2312" w:eastAsia="仿宋_GB2312"/>
        </w:rPr>
        <w:t>联系电话：0913-2185335</w:t>
      </w:r>
    </w:p>
    <w:p>
      <w:pPr>
        <w:pStyle w:val="null3"/>
      </w:pPr>
      <w:r>
        <w:rPr>
          <w:rFonts w:ascii="仿宋_GB2312" w:hAnsi="仿宋_GB2312" w:cs="仿宋_GB2312" w:eastAsia="仿宋_GB2312"/>
        </w:rPr>
        <w:t>地址：渭南市临渭区乐天大街碧桂园翡翠公馆北门11栋商铺2层208号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就业信息网络及基础设施安全运行保障维护服务。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就业信息网络及基础设施安全运行保障维护服务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标的名称：就业信息网络及基础设施安全运行保障维护服务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1"/>
              </w:rPr>
              <w:t>一、基本要求</w:t>
            </w:r>
          </w:p>
          <w:p>
            <w:pPr>
              <w:pStyle w:val="null3"/>
              <w:ind w:firstLine="560"/>
              <w:jc w:val="both"/>
            </w:pPr>
            <w:r>
              <w:rPr>
                <w:rFonts w:ascii="仿宋_GB2312" w:hAnsi="仿宋_GB2312" w:cs="仿宋_GB2312" w:eastAsia="仿宋_GB2312"/>
                <w:sz w:val="21"/>
              </w:rPr>
              <w:t>（一）采购内容：就业信息网络及基础设施安全运行保障维护服务。</w:t>
            </w:r>
          </w:p>
          <w:p>
            <w:pPr>
              <w:pStyle w:val="null3"/>
              <w:ind w:firstLine="560"/>
              <w:jc w:val="both"/>
            </w:pPr>
            <w:r>
              <w:rPr>
                <w:rFonts w:ascii="仿宋_GB2312" w:hAnsi="仿宋_GB2312" w:cs="仿宋_GB2312" w:eastAsia="仿宋_GB2312"/>
                <w:sz w:val="21"/>
              </w:rPr>
              <w:t>（二）采购项目需要落实的政府采购政策：</w:t>
            </w:r>
          </w:p>
          <w:p>
            <w:pPr>
              <w:pStyle w:val="null3"/>
              <w:ind w:firstLine="560"/>
              <w:jc w:val="both"/>
            </w:pPr>
            <w:r>
              <w:rPr>
                <w:rFonts w:ascii="仿宋_GB2312" w:hAnsi="仿宋_GB2312" w:cs="仿宋_GB2312" w:eastAsia="仿宋_GB2312"/>
                <w:sz w:val="21"/>
              </w:rPr>
              <w:t>（1）《政府采购促进中小企业发展管理办法》（财库〔2020〕46号）、（2）《关于进一步加大政府采购支持中小企业力度的通知》（财库〔2022〕19号）、（3）《关于政府采购支持监狱企业发展有关问题的通知》（财库〔2014〕68号）、（4）《关于促进残疾人就业政府采购政策的通知》（财库〔2017〕141号）、（5）《财政部发展改革委生态环境部市场监管总局关于调整优化节能产品、环境标志产品政府采购执行机制的通知》（财库〔2019〕9号）；（6）《关于印发环境标志产品政府采购品目清单的通知》（财库〔2019〕18号）；（7）《关于印发节能产品政府采购品目清单的通知》（财库〔2019〕19号）；（8）《财政部农业农村部国家乡村振兴局关于运用政府采购政策支持乡村产业振兴的通知》（财库〔2021〕19 号）。（9）《关于深入开展政府采购脱贫地区农副产品工作推进乡村产业振兴的实施意见》（财库〔2021〕20号）。（10）《陕西省财政厅关于加快推进我省中小企业政府采购信用融资工作的通知》（陕财办采〔2020〕15号）（11）《陕西省财政厅关于印发陕西省中小企业政府采购信用融资办法》（陕财办采〔2018〕23号）；（12）《陕西省财政厅关于进一步加强政府绿色采购有关问题的通知》（陕财办采〔2021〕29号）（13）《商品包装政府采购需求标准（试行）》和《快递包装政府采购需求标准（试行）》（财办库〔2020〕123号）；（14）其他需要落实的政府采购政策。</w:t>
            </w:r>
          </w:p>
          <w:p>
            <w:pPr>
              <w:pStyle w:val="null3"/>
              <w:ind w:firstLine="280"/>
              <w:jc w:val="both"/>
            </w:pPr>
            <w:r>
              <w:rPr>
                <w:rFonts w:ascii="仿宋_GB2312" w:hAnsi="仿宋_GB2312" w:cs="仿宋_GB2312" w:eastAsia="仿宋_GB2312"/>
                <w:sz w:val="21"/>
              </w:rPr>
              <w:t>（三）服务期限：一年(服务期满后，乙方服务合格，同等条件下，经双方协商可续签一年)</w:t>
            </w:r>
          </w:p>
          <w:p>
            <w:pPr>
              <w:pStyle w:val="null3"/>
              <w:ind w:firstLine="280"/>
              <w:jc w:val="both"/>
            </w:pPr>
            <w:r>
              <w:rPr>
                <w:rFonts w:ascii="仿宋_GB2312" w:hAnsi="仿宋_GB2312" w:cs="仿宋_GB2312" w:eastAsia="仿宋_GB2312"/>
                <w:sz w:val="21"/>
              </w:rPr>
              <w:t>（四）服务地点：渭南市</w:t>
            </w:r>
          </w:p>
          <w:p>
            <w:pPr>
              <w:pStyle w:val="null3"/>
              <w:ind w:firstLine="560"/>
              <w:jc w:val="both"/>
            </w:pPr>
            <w:r>
              <w:rPr>
                <w:rFonts w:ascii="仿宋_GB2312" w:hAnsi="仿宋_GB2312" w:cs="仿宋_GB2312" w:eastAsia="仿宋_GB2312"/>
                <w:sz w:val="21"/>
              </w:rPr>
              <w:t>二、需执行的国家相关标准、行业标准、地方标准或者其他标准、规范标准</w:t>
            </w:r>
          </w:p>
          <w:p>
            <w:pPr>
              <w:pStyle w:val="null3"/>
              <w:ind w:firstLine="560"/>
              <w:jc w:val="both"/>
            </w:pPr>
            <w:r>
              <w:rPr>
                <w:rFonts w:ascii="仿宋_GB2312" w:hAnsi="仿宋_GB2312" w:cs="仿宋_GB2312" w:eastAsia="仿宋_GB2312"/>
                <w:sz w:val="21"/>
              </w:rPr>
              <w:t>执行国家相关标准、行业标准、以及其他标准、规范，并统一执行最新标准规范。</w:t>
            </w:r>
          </w:p>
          <w:p>
            <w:pPr>
              <w:pStyle w:val="null3"/>
              <w:ind w:firstLine="560"/>
              <w:jc w:val="both"/>
            </w:pPr>
            <w:r>
              <w:rPr>
                <w:rFonts w:ascii="仿宋_GB2312" w:hAnsi="仿宋_GB2312" w:cs="仿宋_GB2312" w:eastAsia="仿宋_GB2312"/>
                <w:sz w:val="21"/>
              </w:rPr>
              <w:t>1.技术标准及依据</w:t>
            </w:r>
          </w:p>
          <w:p>
            <w:pPr>
              <w:pStyle w:val="null3"/>
              <w:jc w:val="both"/>
            </w:pPr>
            <w:r>
              <w:rPr>
                <w:rFonts w:ascii="仿宋_GB2312" w:hAnsi="仿宋_GB2312" w:cs="仿宋_GB2312" w:eastAsia="仿宋_GB2312"/>
                <w:sz w:val="21"/>
              </w:rPr>
              <w:t>（1）GB/T 28827.1-2022（信息技术服务运行维护第1部分：通用要求）</w:t>
            </w:r>
          </w:p>
          <w:p>
            <w:pPr>
              <w:pStyle w:val="null3"/>
              <w:jc w:val="both"/>
            </w:pPr>
            <w:r>
              <w:rPr>
                <w:rFonts w:ascii="仿宋_GB2312" w:hAnsi="仿宋_GB2312" w:cs="仿宋_GB2312" w:eastAsia="仿宋_GB2312"/>
                <w:sz w:val="21"/>
              </w:rPr>
              <w:t>（2）GB/T 22239-2019（信息安全技术网络安全等级保护基本要求）</w:t>
            </w:r>
          </w:p>
          <w:p>
            <w:pPr>
              <w:pStyle w:val="null3"/>
              <w:jc w:val="both"/>
            </w:pPr>
            <w:r>
              <w:rPr>
                <w:rFonts w:ascii="仿宋_GB2312" w:hAnsi="仿宋_GB2312" w:cs="仿宋_GB2312" w:eastAsia="仿宋_GB2312"/>
                <w:sz w:val="21"/>
              </w:rPr>
              <w:t>（3）GB/T 33356-2016（信息技术云计算云服务用户数据交换接口规范）</w:t>
            </w:r>
          </w:p>
          <w:p>
            <w:pPr>
              <w:pStyle w:val="null3"/>
              <w:ind w:firstLine="560"/>
              <w:jc w:val="both"/>
            </w:pPr>
            <w:r>
              <w:rPr>
                <w:rFonts w:ascii="仿宋_GB2312" w:hAnsi="仿宋_GB2312" w:cs="仿宋_GB2312" w:eastAsia="仿宋_GB2312"/>
                <w:sz w:val="21"/>
              </w:rPr>
              <w:t>三、服务指标的具体要求</w:t>
            </w:r>
          </w:p>
          <w:p>
            <w:pPr>
              <w:pStyle w:val="null3"/>
              <w:ind w:firstLine="560"/>
              <w:jc w:val="both"/>
            </w:pPr>
            <w:r>
              <w:rPr>
                <w:rFonts w:ascii="仿宋_GB2312" w:hAnsi="仿宋_GB2312" w:cs="仿宋_GB2312" w:eastAsia="仿宋_GB2312"/>
                <w:sz w:val="21"/>
              </w:rPr>
              <w:t>保障就业信息网络及基础设施稳定、高效、安全运行，为全市人社各方面工作高质量开展筑牢技术支撑，</w:t>
            </w:r>
            <w:r>
              <w:rPr>
                <w:rFonts w:ascii="仿宋_GB2312" w:hAnsi="仿宋_GB2312" w:cs="仿宋_GB2312" w:eastAsia="仿宋_GB2312"/>
                <w:sz w:val="21"/>
              </w:rPr>
              <w:t>提高渭南市人力资源和社会保障局网络安全性，需通过网络维护及时发现并解决网络安全隐患，保障网络正常运行；同时，通过维护发现并优化网络设备和系统，进一步提升网络性能和效率。</w:t>
            </w:r>
          </w:p>
          <w:p>
            <w:pPr>
              <w:pStyle w:val="null3"/>
              <w:ind w:firstLine="560"/>
              <w:jc w:val="both"/>
            </w:pPr>
            <w:r>
              <w:rPr>
                <w:rFonts w:ascii="仿宋_GB2312" w:hAnsi="仿宋_GB2312" w:cs="仿宋_GB2312" w:eastAsia="仿宋_GB2312"/>
                <w:sz w:val="21"/>
              </w:rPr>
              <w:t>根据网络规模和重要性，制定网络维护的时间节点和频率，确保全面覆盖和及时发现问题；明确维护的具体范围，包括但不限于网络设备、系统、应用程序、安全策略等内容。</w:t>
            </w:r>
          </w:p>
          <w:p>
            <w:pPr>
              <w:pStyle w:val="null3"/>
              <w:ind w:firstLine="420"/>
              <w:jc w:val="both"/>
            </w:pPr>
            <w:r>
              <w:rPr>
                <w:rFonts w:ascii="仿宋_GB2312" w:hAnsi="仿宋_GB2312" w:cs="仿宋_GB2312" w:eastAsia="仿宋_GB2312"/>
                <w:sz w:val="21"/>
                <w:b/>
              </w:rPr>
              <w:t>1.服务内容及清单</w:t>
            </w:r>
          </w:p>
          <w:p>
            <w:pPr>
              <w:pStyle w:val="null3"/>
              <w:ind w:firstLine="420"/>
              <w:jc w:val="both"/>
            </w:pPr>
            <w:r>
              <w:rPr>
                <w:rFonts w:ascii="仿宋_GB2312" w:hAnsi="仿宋_GB2312" w:cs="仿宋_GB2312" w:eastAsia="仿宋_GB2312"/>
                <w:sz w:val="21"/>
              </w:rPr>
              <w:t>保障设备稳定运行：通过定期检查、预防性维护，降低设备故障率，确保核心业务系统（如服务器、网络设备、安全设备）全年可用性≥99.9%。</w:t>
            </w:r>
          </w:p>
          <w:p>
            <w:pPr>
              <w:pStyle w:val="null3"/>
              <w:ind w:firstLine="420"/>
              <w:jc w:val="both"/>
            </w:pPr>
            <w:r>
              <w:rPr>
                <w:rFonts w:ascii="仿宋_GB2312" w:hAnsi="仿宋_GB2312" w:cs="仿宋_GB2312" w:eastAsia="仿宋_GB2312"/>
                <w:sz w:val="21"/>
              </w:rPr>
              <w:t>优化安全防护能力：结合安全设备策略优化方案，强化防火墙、IDS/IPS、VPN网关的威胁检测与阻断能力，降低安全事件发生率。</w:t>
            </w:r>
          </w:p>
          <w:p>
            <w:pPr>
              <w:pStyle w:val="null3"/>
              <w:jc w:val="center"/>
            </w:pPr>
            <w:r>
              <w:rPr>
                <w:rFonts w:ascii="仿宋_GB2312" w:hAnsi="仿宋_GB2312" w:cs="仿宋_GB2312" w:eastAsia="仿宋_GB2312"/>
                <w:sz w:val="21"/>
                <w:b/>
              </w:rPr>
              <w:t>安全服务清单</w:t>
            </w:r>
          </w:p>
          <w:tbl>
            <w:tblPr>
              <w:tblInd w:type="dxa" w:w="135"/>
              <w:tblBorders>
                <w:top w:val="none" w:color="000000" w:sz="4"/>
                <w:left w:val="none" w:color="000000" w:sz="4"/>
                <w:bottom w:val="none" w:color="000000" w:sz="4"/>
                <w:right w:val="none" w:color="000000" w:sz="4"/>
                <w:insideH w:val="none"/>
                <w:insideV w:val="none"/>
              </w:tblBorders>
            </w:tblPr>
            <w:tblGrid>
              <w:gridCol w:w="198"/>
              <w:gridCol w:w="338"/>
              <w:gridCol w:w="2017"/>
            </w:tblGrid>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rFonts w:ascii="仿宋_GB2312" w:hAnsi="仿宋_GB2312" w:cs="仿宋_GB2312" w:eastAsia="仿宋_GB2312"/>
                      <w:sz w:val="21"/>
                    </w:rPr>
                    <w:t>类别</w:t>
                  </w:r>
                </w:p>
              </w:tc>
              <w:tc>
                <w:tcPr>
                  <w:tcW w:type="dxa" w:w="2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服务内容</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重要时期安全保障巡查</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重大活动网络安全保障，在重大保障时期：重保前，资产梳理、风险排查、安全整改加固、以攻促防；重保中，最为关键的是值守、应急保障；重保后，涉及重保经验总结、复盘、重保报告等；</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协助搭建网络安全建设体系</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根据渭南市人力资源和社会保障局用户现状，参考ISO27001、ISO20000、COBIT、ITIL、ISO38500、SOX、COSO等国际标准和最佳实践，结合信息安全等级保护等国家标准，设计搭建符合渭南市人力资源和社会保障局用户需求的网络安全建设体系，提升信息安全管理规范化、流程化和标准化水平。从安全建设控制、安全管理控制、安全运行控制、安全风险控制和合规控制五个维度确定渭南市人力资源和社会保障局用户的总体安全建设体系。</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IT信息资产梳理</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从信息安全角度针对渭南市人力资源和社会保障局用户所有涉及信息安全的资产进行梳理，对所有资产进行全生命周期的信息安全管理工作。</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日志分析服务</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通过对渭南市人力资源和社会保障局用户系统、应用程序、网络设备、安全设备等产生的日志进行收集、存储、分析，以帮助渭南市人力资源和社会保障局用户监控和分析系统运行状态、安全事件、安全引起的性能问题等的服务。</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安全巡检报告</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对渭南市人力资源和社会保障局用户的网络、应用系统、安全设备进行周期性的安全维护、巡检，定期输出具备可读性的《安全巡检报告》，并定期向渭南市人力资源和社会保障局用户相关领导做安全巡检汇报工作。</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漏洞扫描报告</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定期通过软/硬件漏扫对渭南市人力资源和社会保障局用户进行全网扫描和威胁发现。已达到事前提前预警加固、事中处置有目标、事后溯源有依据，输出具备可读性的《漏洞扫描报告》，并定期向渭南市人力资源和社会保障局用户相关领导做安全巡检汇报工作。</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行业安全事件通告服务</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针对渭南市人力资源和社会保障局用户，提供国内外、行业内外安全事件通告服务，服务方式：邮件、电话、微信/公众号，针对重大行业安全事件的通告内容包含安全事件缘由，以及相关加固方案或应急方案。加固方案或应急方案以书面方案的方式提供给渭南市人力资源和社会保障局用户。</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流程和制度建设</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帮助渭南市人力资源和社会保障局用户建立和完善安全管理流程和制度，以确保安全工作的规范性、有效性和持续性。</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安全功能审核服务</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帮助渭南市人力资源和社会保障局用户对其软件、应用程序或系统、网络架构、安全设备的安全功能进行评估和审核，旨在确保软件或系统、网络架构以及安全产品的安全性和可靠性。</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网络架构分析服务</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帮助渭南市人力资源和社会保障局用户对其网络架构进行评估和分析的服务，旨在帮助渭南市人力资源和社会保障局用户优化网络架构，提高网络性能、安全性和可靠性。</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渗透测试报告</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通过模拟恶意黑客的攻击方法，来评估计算机网络系统安全的一种评估方法。输出具备可读性的《渗透测试报告》，并定期向渭南市人力资源和社会保障局用户相关领导做安全渗透测试工作总结汇报工作。</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攻防演练培训</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经得渭南市人力资源和社会保障局用户允许，通过一种模拟真实攻击和防御的方式，旨在测试和提升渭南市人力资源和社会保障局用户的安全防御能力。在攻防演练中，参与者被分为红队（攻击方）和蓝队（防御方），通过模拟攻击和防御的对抗，评估和改进渭南市人力资源和社会保障局用户安全措施，输出《攻防演练报告》，并开展攻防演练总结和培训活动。</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应急演练培训</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经得渭南市人力资源和社会保障局用户允许，通过模拟紧急情况下的应急响应和处理的训练活动，旨在测试和提升渭南市人力资源和社会保障局用户在紧急情况下的应急能力和协调能力。应急演练通常涉及多个部门和人员，模拟各种紧急事件，如火灾、自然灾害、网络攻击等，以验证渭南市人力资源和社会保障局用户的应急预案和流程的有效性，输出《应急演练总结报告》。</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安全意识培训</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帮助用户开展网络安全意识培训活动，针对渭南市人力资源和社会保障局用户员工的网络安全培训活动，旨在提高员工对安全风险和威胁的认识，增强安全意识和行为，以减少安全事件的发生。安全意识培训通常包括以下内容：</w:t>
                  </w:r>
                </w:p>
                <w:p>
                  <w:pPr>
                    <w:pStyle w:val="null3"/>
                    <w:ind w:firstLine="420"/>
                    <w:jc w:val="both"/>
                  </w:pPr>
                  <w:r>
                    <w:rPr>
                      <w:rFonts w:ascii="仿宋_GB2312" w:hAnsi="仿宋_GB2312" w:cs="仿宋_GB2312" w:eastAsia="仿宋_GB2312"/>
                      <w:sz w:val="21"/>
                    </w:rPr>
                    <w:t>安全政策和规范：介绍渭南市人力资源和社会保障局用户的安全政策和规范，包括密码策略、访问控制、数据保护等，让员工了解和遵守相关规定；介绍网络安全行业态势以及国家层面网络安全政策法规、法律等，输出《网络安全培训PPT》。</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运维组织</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根据采购人指定服务地点，组织驻场运维团队，保障各系统及相关设备稳定运行，若有重要会议及突发事件处置随时调整（境减）运维保障人员。</w:t>
                  </w:r>
                </w:p>
                <w:p>
                  <w:pPr>
                    <w:pStyle w:val="null3"/>
                    <w:ind w:firstLine="420"/>
                    <w:jc w:val="both"/>
                  </w:pPr>
                  <w:r>
                    <w:rPr>
                      <w:rFonts w:ascii="仿宋_GB2312" w:hAnsi="仿宋_GB2312" w:cs="仿宋_GB2312" w:eastAsia="仿宋_GB2312"/>
                      <w:sz w:val="21"/>
                    </w:rPr>
                    <w:t>每周一次巡检。巡检内容：检查设备运行情况，检查有无故障设备，发现问题及时解决。每次巡检做好巡检记录。</w:t>
                  </w:r>
                </w:p>
                <w:p>
                  <w:pPr>
                    <w:pStyle w:val="null3"/>
                    <w:ind w:firstLine="420"/>
                    <w:jc w:val="both"/>
                  </w:pPr>
                  <w:r>
                    <w:rPr>
                      <w:rFonts w:ascii="仿宋_GB2312" w:hAnsi="仿宋_GB2312" w:cs="仿宋_GB2312" w:eastAsia="仿宋_GB2312"/>
                      <w:sz w:val="21"/>
                    </w:rPr>
                    <w:t>每月一次设备维护，维护后在巡检表上及时记录，对设备维护情况做详细说明。</w:t>
                  </w:r>
                </w:p>
                <w:p>
                  <w:pPr>
                    <w:pStyle w:val="null3"/>
                    <w:ind w:firstLine="420"/>
                    <w:jc w:val="both"/>
                  </w:pPr>
                  <w:r>
                    <w:rPr>
                      <w:rFonts w:ascii="仿宋_GB2312" w:hAnsi="仿宋_GB2312" w:cs="仿宋_GB2312" w:eastAsia="仿宋_GB2312"/>
                      <w:sz w:val="21"/>
                    </w:rPr>
                    <w:t>定期向采购人报告系统运行和维护保养情况，并附相关责任人对本次维修的满意程度反馈。</w:t>
                  </w:r>
                </w:p>
              </w:tc>
            </w:tr>
          </w:tbl>
          <w:p>
            <w:pPr>
              <w:pStyle w:val="null3"/>
              <w:ind w:firstLine="562"/>
              <w:jc w:val="both"/>
            </w:pPr>
            <w:r>
              <w:rPr>
                <w:rFonts w:ascii="仿宋_GB2312" w:hAnsi="仿宋_GB2312" w:cs="仿宋_GB2312" w:eastAsia="仿宋_GB2312"/>
                <w:sz w:val="21"/>
                <w:b/>
              </w:rPr>
              <w:t>2.专项保障与培训服务</w:t>
            </w:r>
          </w:p>
          <w:p>
            <w:pPr>
              <w:pStyle w:val="null3"/>
              <w:ind w:firstLine="420"/>
              <w:jc w:val="both"/>
            </w:pPr>
            <w:r>
              <w:rPr>
                <w:rFonts w:ascii="仿宋_GB2312" w:hAnsi="仿宋_GB2312" w:cs="仿宋_GB2312" w:eastAsia="仿宋_GB2312"/>
                <w:sz w:val="21"/>
              </w:rPr>
              <w:t>2.1提供会议专项保障：针对关键就业会议（如全市工作部署会、大型招聘会直播、应急就业调度会），会前24小时完成设备全功能调试、网络压力测试（模拟1.2倍实际参会人数带宽需求）；会议期间安排1名资深工程师现场值守，实时监看系统状态，保障会议全程无卡顿、无中断。</w:t>
            </w:r>
          </w:p>
          <w:p>
            <w:pPr>
              <w:pStyle w:val="null3"/>
              <w:ind w:firstLine="420"/>
              <w:jc w:val="both"/>
            </w:pPr>
            <w:r>
              <w:rPr>
                <w:rFonts w:ascii="仿宋_GB2312" w:hAnsi="仿宋_GB2312" w:cs="仿宋_GB2312" w:eastAsia="仿宋_GB2312"/>
                <w:sz w:val="21"/>
              </w:rPr>
              <w:t>2.2技术培训服务：每半年组织1次操作培训，内容涵盖指挥会议发起/管理（如添加参会人、切换主讲人）、常见故障自查（如设备离线排查、声音异常处理）、光纤网基础认知（如链路通断判断），提升采购人自主操作与问题处置能力，培训后提供书面操作手册。</w:t>
            </w:r>
          </w:p>
          <w:p>
            <w:pPr>
              <w:pStyle w:val="null3"/>
              <w:ind w:firstLine="562"/>
              <w:jc w:val="both"/>
            </w:pPr>
            <w:r>
              <w:rPr>
                <w:rFonts w:ascii="仿宋_GB2312" w:hAnsi="仿宋_GB2312" w:cs="仿宋_GB2312" w:eastAsia="仿宋_GB2312"/>
                <w:sz w:val="21"/>
                <w:b/>
              </w:rPr>
              <w:t>3.人员要求</w:t>
            </w:r>
          </w:p>
          <w:p>
            <w:pPr>
              <w:pStyle w:val="null3"/>
              <w:ind w:firstLine="420"/>
              <w:jc w:val="both"/>
            </w:pPr>
            <w:r>
              <w:rPr>
                <w:rFonts w:ascii="仿宋_GB2312" w:hAnsi="仿宋_GB2312" w:cs="仿宋_GB2312" w:eastAsia="仿宋_GB2312"/>
                <w:sz w:val="21"/>
              </w:rPr>
              <w:t>组建专项运维团队和驻场团队，成员职责明确，团队成员固定，如需更换需提前15天书面告知采购人，并确保接替人员完成项目知识交接，避免服务中断。</w:t>
            </w:r>
          </w:p>
          <w:p>
            <w:pPr>
              <w:pStyle w:val="null3"/>
              <w:ind w:firstLine="562"/>
              <w:jc w:val="both"/>
            </w:pPr>
            <w:r>
              <w:rPr>
                <w:rFonts w:ascii="仿宋_GB2312" w:hAnsi="仿宋_GB2312" w:cs="仿宋_GB2312" w:eastAsia="仿宋_GB2312"/>
                <w:sz w:val="21"/>
                <w:b/>
              </w:rPr>
              <w:t xml:space="preserve">4.其他要求  </w:t>
            </w:r>
          </w:p>
          <w:p>
            <w:pPr>
              <w:pStyle w:val="null3"/>
              <w:ind w:firstLine="560"/>
              <w:jc w:val="both"/>
            </w:pPr>
            <w:r>
              <w:rPr>
                <w:rFonts w:ascii="仿宋_GB2312" w:hAnsi="仿宋_GB2312" w:cs="仿宋_GB2312" w:eastAsia="仿宋_GB2312"/>
                <w:sz w:val="21"/>
              </w:rPr>
              <w:t>4.1提供驻场服务及7×24小时专属服务热线，接到故障报修后，10分钟内响应并远程初步排查解决问题。</w:t>
            </w:r>
          </w:p>
          <w:p>
            <w:pPr>
              <w:pStyle w:val="null3"/>
              <w:ind w:firstLine="560"/>
              <w:jc w:val="both"/>
            </w:pPr>
            <w:r>
              <w:rPr>
                <w:rFonts w:ascii="仿宋_GB2312" w:hAnsi="仿宋_GB2312" w:cs="仿宋_GB2312" w:eastAsia="仿宋_GB2312"/>
                <w:sz w:val="21"/>
              </w:rPr>
              <w:t>4.2定期巡检维护、故障响应与修理、设备性能优化、技术支持与培训。配合采购人进行软硬件升级改造，做好增加设备后的巡检维保工作。</w:t>
            </w:r>
          </w:p>
          <w:p>
            <w:pPr>
              <w:pStyle w:val="null3"/>
              <w:ind w:firstLine="560"/>
              <w:jc w:val="both"/>
            </w:pPr>
            <w:r>
              <w:rPr>
                <w:rFonts w:ascii="仿宋_GB2312" w:hAnsi="仿宋_GB2312" w:cs="仿宋_GB2312" w:eastAsia="仿宋_GB2312"/>
                <w:sz w:val="21"/>
              </w:rPr>
              <w:t>4.2提供机房网络安全设备和精密空调等关键基础设备状态监控、故障快速修复等服务。</w:t>
            </w:r>
          </w:p>
          <w:p>
            <w:pPr>
              <w:pStyle w:val="null3"/>
              <w:ind w:firstLine="560"/>
              <w:jc w:val="both"/>
            </w:pPr>
            <w:r>
              <w:rPr>
                <w:rFonts w:ascii="仿宋_GB2312" w:hAnsi="仿宋_GB2312" w:cs="仿宋_GB2312" w:eastAsia="仿宋_GB2312"/>
                <w:sz w:val="21"/>
              </w:rPr>
              <w:t>4.3根据维护结果，及时发现并解决网络安全隐患，生成维护报告，详细记录维护过程和发现的问题，针对维护报告中发现的问题，提出解决方案和改进建议，确保网络安全和稳定。</w:t>
            </w:r>
          </w:p>
          <w:p>
            <w:pPr>
              <w:pStyle w:val="null3"/>
              <w:ind w:firstLine="560"/>
              <w:jc w:val="both"/>
            </w:pPr>
            <w:r>
              <w:rPr>
                <w:rFonts w:ascii="仿宋_GB2312" w:hAnsi="仿宋_GB2312" w:cs="仿宋_GB2312" w:eastAsia="仿宋_GB2312"/>
                <w:sz w:val="21"/>
              </w:rPr>
              <w:t>4.4供应商应提供本项目运维过程中相关耗材。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一年(服务期满后，乙方服务合格，同等条件下，经双方协商可续签一年)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符合国家法律法规规定，同时满足采购文件及采购响应文件中明确的技术标准与要求。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服务期满后，项目验收合格后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1、成交供应商在成交结果公告发布后3个工作日内提供叁套纸质磋商响应文件（经编标工具生成的文件直接打印并加盖公章），递交的纸质版文件内容确保与线上电子文件保持一致，不允许修改和补充。 2、该项目采购标的对应的中小企业划分标准所属行业为软件和信息技术服务行业。 (软件和信息技术服务行业划型标准为：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3、出具磋商保证金交纳凭证或担保机构出具的保函（未按磋商文件要求提供响应无效）。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1.1供应商应具备独立承担民事责任能力的法人、其他组织或自然人，提供合法有效的统一社会信用代码的营业执照副本或相关证明（自然人提供身份证复印件）； 1.2提供具有财务审计资质单位出具的2024年度的财务报告或响应文件提交截止时间前六个月内其基本账户银行出具的资信证明； 1.3供应商提供响应文件提交截止时间前一年内任意一个月的社会保障资金缴存证明或社保机构开具的社会保险参保缴费情况证明； 1.4供应商提供响应文件提交截止时间前一年内任意一个月的依法缴纳税收的相关证明，依法免税需提供相关证明材料； 1.5提供供应商参加政府采购活动前三年内经营活动中没有重大违法纪录的书面声明； 1.6提供具有履行合同所必需的设备和专业技术能力的声明。供应商需在项目电子化交易系统中按要求填写《投标函》完成承诺并进行电子签章。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供应商应授权合法的人员参加磋商全过程，其中法定代表人（负责人）直接参加的，须提供法定代表人（负责人）身份证明，并与营业执照上信息一致。法定代表人（负责人）授权代表参加的，须提供法定代表人（负责人）授权书及授权代表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供应商未列入“信用中国”网站(www.creditchina.gov.cn)失信被执行人、重大税收违法失信主体、政府采购严重违法失信行为记录名单和“中国政府采购网”(www.ccgp.gov.cn)政府采购严重违法失信行为记录名单；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供应商不得存在下列情形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磋商响应文件签署、盖章满足磋商文件的要求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中小企业声明函.docx 残疾人福利性单位声明函 标的清单 报价表 商务应答表.docx 服务内容及服务邀请应答表.docx 响应函 服务方案.docx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磋商响应有效期满足磋商文件的要求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供应商磋商报价未出现选择性报价，磋商报价未超出预算金额及最高限价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达到国家相关法律法规要求、磋商文件、磋商响应文件及采购人要求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响应全部实质性要求，未附加采购人难以接受的条件</w:t>
            </w:r>
          </w:p>
        </w:tc>
        <w:tc>
          <w:tcPr>
            <w:tcW w:type="dxa" w:w="1661"/>
          </w:tcPr>
          <w:p>
            <w:pPr>
              <w:pStyle w:val="null3"/>
            </w:pPr>
            <w:r>
              <w:rPr>
                <w:rFonts w:ascii="仿宋_GB2312" w:hAnsi="仿宋_GB2312" w:cs="仿宋_GB2312" w:eastAsia="仿宋_GB2312"/>
              </w:rPr>
              <w:t>服务内容及服务邀请应答表.docx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一、评审内容：对本项目的理解与重难点分析，包括不限于：①对项目的理解和认识；②项目重难点分析等。 二、评审标准：提供详细、合理、科学可行的方案，方案符合本项目采购需求有针对性，以上2项，以序号①、②为项数，内容无缺项、无漏项且无缺陷的得6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提供针对本项目的总体服务方案，包括不限于：①设备系统定期升级、优化方案；②设备系统定期维护方案；③进度计划及组织保障措施；④工作流程及内容；⑤组织管理方案；⑥安全实施保障方案；⑦项目风险管理；⑧突发事件的应急措施等。 二、评审标准：提供详细、合理、科学可行的方案，方案符合本项目采购需求有针对性，以上8项，以序号①、②、③、④、⑤、⑥、⑦、⑧为项数，内容无缺项、无漏项且无缺陷的得24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一、评审内容：提供针对本项目的服务质量保证措施，包括不限于：①质量控制目标；②服务质量保证措施等。 二、评审标准：提供详细、合理、科学可行的方案，方案符合本项目采购需求有针对性，以上2项，以序号①、②为项数，内容无缺项、无漏项且无缺陷的得4分，其中每有一项内容存在缺项或漏项的扣2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故障响应方案</w:t>
            </w:r>
          </w:p>
        </w:tc>
        <w:tc>
          <w:tcPr>
            <w:tcW w:type="dxa" w:w="2492"/>
          </w:tcPr>
          <w:p>
            <w:pPr>
              <w:pStyle w:val="null3"/>
            </w:pPr>
            <w:r>
              <w:rPr>
                <w:rFonts w:ascii="仿宋_GB2312" w:hAnsi="仿宋_GB2312" w:cs="仿宋_GB2312" w:eastAsia="仿宋_GB2312"/>
              </w:rPr>
              <w:t>一、评审内容：针对本项目的故障响应方案，包括不限于：①故障识别和报告机制；②故障分析和定位；③故障修复（含具体的故障修复响应时间）；④沟通反馈机制等。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一、评审内容：供应商提供针对本项目团队人员配备方案，包括不限于：①组织架构、团队配置、岗位职责；②拟派人员名单、相关证件、工作经验等。 二、评审标准：提供详细、合理、科学可行的方案，方案符合本项目采购需求有针对性，以上2项，以序号①、②为项数，内容无缺项、无漏项且无缺陷的得4分，其中每有一项内容存在缺项或漏项的扣2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本项目相关专业中级职称得2分，相关专业高级职称得3分。不提供不得分（需提供证书复印件加盖单位公章，同时需提供项目负责人近1个月交纳社会保险的凭据复印件加盖单位公章，社保缴纳单位必须与单位名称一致）</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一、评审内容：针对本项目提供培训方案，包括不限于：①培训对象和内容；②培训方式；③培训日程安排等。 二、评审标准：提供详细、合理、科学可行的方案，方案符合本项目采购需求有针对性，以上3项，以序号①、②、③为项数，内容无缺项、无漏项且无缺陷的得6分，其中每有一项内容存在缺项或漏项的扣2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一、评审内容：供应商提供针对本项目的保密承诺及措施。 二、评审标准：提供详细、合理、科学可行的承诺及措施，得5分；内容存在缺陷扣0.5分；该项分值扣完为止，未提供不得分。 三、赋分说明：“缺陷”是指套用其他项目方案内容；存在 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一、评审内容：服务承诺，包括不限于：①为确保项目能按时按质完成，接受采购人对服务的监督及管理的承诺；②承诺验收前，项目团队的人员保持稳定的承诺；③应急故障响应时间与处理时间等。 二、评审标准：提供详细、 合理、科学可行的方案，方案符合本项目采购需求有针对性，以上3项，以序号①、②、③为项数，内容无缺项、无漏项且无缺陷的得6分，其中每有一项内容存在缺项或漏项的扣2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供应商提供自2022年11月1日至今类似业绩的证明材料（合同或中标/成交通知书复印件加盖公章，以合同签订时间或中标/成交通知书发出为准）每提供一项得2分，最高得10分，不提供不得分。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有效报价指满足磋商文件实质性要求、未超出最高限价且未被磋商小组认定为低于成本价的供应商报价。以有效报价中最低的供应商报价为评标基准价，其价格分为满分。其他供应商的价格分统一按照下列公式计算： 投标报价得分=（评标基准价/有效报价）×价格权值（20%）×100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中小企业声明函.docx</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