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版本号：JJX-2025-04920251114001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广播融媒制播一体化系统项目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JJX-2025-049</w:t>
      </w:r>
      <w:r>
        <w:br/>
      </w:r>
      <w:r>
        <w:br/>
      </w:r>
      <w:r>
        <w:br/>
      </w:r>
    </w:p>
    <w:p>
      <w:pPr>
        <w:pStyle w:val="null3"/>
        <w:jc w:val="center"/>
        <w:outlineLvl w:val="2"/>
      </w:pPr>
      <w:r>
        <w:rPr>
          <w:rFonts w:ascii="仿宋_GB2312" w:hAnsi="仿宋_GB2312" w:cs="仿宋_GB2312" w:eastAsia="仿宋_GB2312"/>
          <w:sz w:val="28"/>
          <w:b/>
        </w:rPr>
        <w:t>渭南广播电视台</w:t>
      </w:r>
    </w:p>
    <w:p>
      <w:pPr>
        <w:pStyle w:val="null3"/>
        <w:jc w:val="center"/>
        <w:outlineLvl w:val="2"/>
      </w:pPr>
      <w:r>
        <w:rPr>
          <w:rFonts w:ascii="仿宋_GB2312" w:hAnsi="仿宋_GB2312" w:cs="仿宋_GB2312" w:eastAsia="仿宋_GB2312"/>
          <w:sz w:val="28"/>
          <w:b/>
        </w:rPr>
        <w:t>陕西金吉翔项目管理有限公司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陕西金吉翔项目管理有限公司</w:t>
      </w:r>
      <w:r>
        <w:rPr>
          <w:rFonts w:ascii="仿宋_GB2312" w:hAnsi="仿宋_GB2312" w:cs="仿宋_GB2312" w:eastAsia="仿宋_GB2312"/>
        </w:rPr>
        <w:t>（以下简称“代理机构”）受</w:t>
      </w:r>
      <w:r>
        <w:rPr>
          <w:rFonts w:ascii="仿宋_GB2312" w:hAnsi="仿宋_GB2312" w:cs="仿宋_GB2312" w:eastAsia="仿宋_GB2312"/>
        </w:rPr>
        <w:t>渭南广播电视台</w:t>
      </w:r>
      <w:r>
        <w:rPr>
          <w:rFonts w:ascii="仿宋_GB2312" w:hAnsi="仿宋_GB2312" w:cs="仿宋_GB2312" w:eastAsia="仿宋_GB2312"/>
        </w:rPr>
        <w:t>委托，拟对</w:t>
      </w:r>
      <w:r>
        <w:rPr>
          <w:rFonts w:ascii="仿宋_GB2312" w:hAnsi="仿宋_GB2312" w:cs="仿宋_GB2312" w:eastAsia="仿宋_GB2312"/>
        </w:rPr>
        <w:t>广播融媒制播一体化系统项目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JJX-2025-049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广播融媒制播一体化系统项目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渭南广播电视台广播融媒制播一体化系统相关设备及服务，详见招标文件。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负责人）证明或授权委托书：提供法定代表人（负责人）授权委托书（附法定代表人（负责人）、被授权人身份证复印件）及被授权人身份证原件（法定代表人（负责人）直接参加投标，须提供法定代表人（负责人）证明及身份证原件）。</w:t>
      </w:r>
    </w:p>
    <w:p>
      <w:pPr>
        <w:pStyle w:val="null3"/>
      </w:pPr>
      <w:r>
        <w:rPr>
          <w:rFonts w:ascii="仿宋_GB2312" w:hAnsi="仿宋_GB2312" w:cs="仿宋_GB2312" w:eastAsia="仿宋_GB2312"/>
        </w:rPr>
        <w:t>2、信用中国网、中国执行公开网和中国政府采购网查询情况：投标人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渭南广播电视台</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渭南市仓程路广电中心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0913-8101106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渭南市临渭区玉德路豪庭佳苑南门东临商铺四层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0913-2529777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代理服务费收费标准：参照国家计委印发《招标代理服务收费管理暂行办法》的通知(计价格[2002]1980号)中相应取费标准计取。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渭南广播电视台</w:t>
      </w:r>
      <w:r>
        <w:rPr>
          <w:rFonts w:ascii="仿宋_GB2312" w:hAnsi="仿宋_GB2312" w:cs="仿宋_GB2312" w:eastAsia="仿宋_GB2312"/>
        </w:rPr>
        <w:t>和</w:t>
      </w:r>
      <w:r>
        <w:rPr>
          <w:rFonts w:ascii="仿宋_GB2312" w:hAnsi="仿宋_GB2312" w:cs="仿宋_GB2312" w:eastAsia="仿宋_GB2312"/>
        </w:rPr>
        <w:t>陕西金吉翔项目管理有限公司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渭南广播电视台</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渭南广播电视台</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符合招标文件验收标准及国家其他现行规范标准要求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联系人：郭晨</w:t>
      </w:r>
    </w:p>
    <w:p>
      <w:pPr>
        <w:pStyle w:val="null3"/>
      </w:pPr>
      <w:r>
        <w:rPr>
          <w:rFonts w:ascii="仿宋_GB2312" w:hAnsi="仿宋_GB2312" w:cs="仿宋_GB2312" w:eastAsia="仿宋_GB2312"/>
        </w:rPr>
        <w:t>联系电话：0913-2529777</w:t>
      </w:r>
    </w:p>
    <w:p>
      <w:pPr>
        <w:pStyle w:val="null3"/>
      </w:pPr>
      <w:r>
        <w:rPr>
          <w:rFonts w:ascii="仿宋_GB2312" w:hAnsi="仿宋_GB2312" w:cs="仿宋_GB2312" w:eastAsia="仿宋_GB2312"/>
        </w:rPr>
        <w:t>地址：渭南市临渭区玉德路豪庭佳苑南门东临商铺四层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渭南广播电视台广播融媒制播一体化系统相关设备及服务。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3,340,000.00</w:t>
      </w:r>
    </w:p>
    <w:p>
      <w:pPr>
        <w:pStyle w:val="null3"/>
      </w:pPr>
      <w:r>
        <w:rPr>
          <w:rFonts w:ascii="仿宋_GB2312" w:hAnsi="仿宋_GB2312" w:cs="仿宋_GB2312" w:eastAsia="仿宋_GB2312"/>
        </w:rPr>
        <w:t>采购包最高限价（元）: 3,340,000.00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3340000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标的名称：3340000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rPr>
              <w:t>详见附件采购清单内容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投标人应组建专业的服务团队，负责对项目实施过程的控制及管理，明确项目负责人及技术人员。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投标人应配置履行服务所需的设施设备，以便提高服务质量及效率。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合同签订后90个日历天内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渭南广播电视台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（1）质量符合国家法律法规和行业规定的合格标准及招标文件的要求。 （2）系统功能满足招标文件及用户要求且无争议。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合同签订后10个工作日内采购人向中标人支付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货物进场，经双方确认开工后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系统服务终验合格后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中标人的违约责任 1、中标人须承诺，所有服务设备和材料的手续是完备的，并在服务供应时一并提供给采购人，如果因此引起的纠纷延误了工期或采购人的工作，一切责任和损失由中标人承担。 2、中标人不能按期履约的,按未按期履约部分总额0.5%的比例向采购人赔付违约金。 3、中标人所交服务不符合国家法律法规和合同规定的，采购人有权拒收，并由中标人承担一切费用。 采购人的违约责任: 1、采购人逾期付款的，应按未付款金额0.5%的比例向中标人偿付逾期付款的违约金; 2、采购人违反合同规定拒绝接收的，应当承担由此对中标人造成的损失。 （2）合同争议的处理 双方本着友好合作的态度,对合同履行过程中发生的违约行为进行及时的协商解决,如不能协商解决可向采购人所在地法院起诉。其它未尽事宜,由双方友好协商解决,并参照《中华人民共和国民法典》有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中标人在公示结束后，需提供系统签章后的投标文件，双面打印三套，封皮加盖单位鲜章，送至采购代理机构。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应具备独立承担民事责任的能力：提供法人或者其他组织的营业执照等证明文件，自然人的身份证明；2、提供2024年11月任意一个月依法缴纳税收和社会保障资金的相关材料；3、提供具有履行合同所必需的设备和专业技术能力的承诺；4、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提供具有财务审计资质单位出具的2024年度财务报告（含附表附注），（成立时间至谈判时间不足一年的可提供成立后任意时段的资产负债表）或2025年4月份至今基本账户银行出具的资信证明。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法人（负责人）证明或授权委托书</w:t>
            </w:r>
          </w:p>
        </w:tc>
        <w:tc>
          <w:tcPr>
            <w:tcW w:type="dxa" w:w="3322"/>
          </w:tcPr>
          <w:p>
            <w:pPr>
              <w:pStyle w:val="null3"/>
            </w:pPr>
            <w:r>
              <w:rPr>
                <w:rFonts w:ascii="仿宋_GB2312" w:hAnsi="仿宋_GB2312" w:cs="仿宋_GB2312" w:eastAsia="仿宋_GB2312"/>
              </w:rPr>
              <w:t>提供法定代表人（负责人）授权委托书（附法定代表人（负责人）、被授权人身份证复印件）及被授权人身份证原件（法定代表人（负责人）直接参加投标，须提供法定代表人（负责人）证明及身份证原件）。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投标人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投标人名称和营业执照一致。</w:t>
            </w:r>
          </w:p>
        </w:tc>
        <w:tc>
          <w:tcPr>
            <w:tcW w:type="dxa" w:w="1661"/>
          </w:tcPr>
          <w:p>
            <w:pPr>
              <w:pStyle w:val="null3"/>
            </w:pPr>
            <w:r>
              <w:rPr>
                <w:rFonts w:ascii="仿宋_GB2312" w:hAnsi="仿宋_GB2312" w:cs="仿宋_GB2312" w:eastAsia="仿宋_GB2312"/>
              </w:rPr>
              <w:t>供应商应提交的相关资格证明材料.docx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符合招标文件规定签署盖章要求。</w:t>
            </w:r>
          </w:p>
        </w:tc>
        <w:tc>
          <w:tcPr>
            <w:tcW w:type="dxa" w:w="1661"/>
          </w:tcPr>
          <w:p>
            <w:pPr>
              <w:pStyle w:val="null3"/>
            </w:pPr>
            <w:r>
              <w:rPr>
                <w:rFonts w:ascii="仿宋_GB2312" w:hAnsi="仿宋_GB2312" w:cs="仿宋_GB2312" w:eastAsia="仿宋_GB2312"/>
              </w:rPr>
              <w:t>开标一览表 分项报价表.docx 供应商应提交的相关资格证明材料.docx 商务要求响应表.docx 投标文件封面 技术规格偏离表.docx 项目人员配置.docx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合同签订后90个日历天内</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对投标文件的响应程度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投标函 商务要求响应表.docx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根据项目各项技术指标的详细描述，根据招标人认为需要提供的技术资料进行评审，完全满足得26分。有一项常规技术参数不满足要求扣0.5分；加“▲”参数不满足要求（投标人须提供相关技术参数的佐证证明材料，相关证明文件上无对应的参数证明条款，视为不满足此项要求）每一项扣1分；扣完26分为止。</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 投标人针对本项目制定的服务方案，包含①项目需求理解；②系统搭建方案；③进度计划及组织保障措施；④项目重难点分析。 评审标准： 1.完整性：实施方案须全面，思路清晰、分析透彻，内容完整、方案科学、合理； 2.可实施性；切合本项目实际情况，步骤明确、可操作性强；3.针对性：总体方案能够紧扣项目实际情况，专业性强、内容科学、合理。 赋分标准（满分16分）： ①每一项评审内容完全满足评审标准得4分；②每一项评审内容若存在方案不明确、不合理、不完整、针对性不强等方面，扣2分；③每一项评审内容不提供或完全背离评审标准得0分。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 投标人针对本项目制定质量保障措施包含①质量保证措施；②系统定期维护方案③质保期间的针对突发事件的应急措施。 评审标准： 1.完整性：方案须全面，完整、科学、合理； 2.可实施性；切合本项目实际情况，步骤明确、可操作性强；3.针对性：运维方案能够紧扣项目实际情况，专业性强、内容科学、合理。 赋分标准（满分6分）： ①每一项评审内容完全满足评审标准得2分； ②每一项评审内容若存在方案不明确、不合理、不完整、针对性不强等方面，扣1分；③每一项评审内容不提供或完全背离评审标准得0分。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投标人针对本项目制定售后服务包含：①售后服务人员安排；②售后服务响应时间与处理时间；③后续服务保障措施。 评审标准： 1.完整性：方案须全面，完整、科学、合理； 2.可实施性；切合本项目实际情况，步骤明确、可操作性强；3.针对性：能够紧扣项目实际情况，专业性强、内容科学、合理。 赋分标准（满分6分）： ①每一项评审内容完全满足评审标准得2分； ②每一项评审内容若存在方案不明确、不合理、不完整、针对性不强等方面，扣1分；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 投标人针对本项目制定培训方案包括：①培训人员；②培训方式。 评审标准： 1.完整性：方案须全面，完整、科学、合理； 2.可实施性；切合本项目实际情况，步骤明确、可操作性强；3.针对性：能够紧扣项目实际情况，专业性强、内容科学、合理。 赋分标准（满分6分）： ①每一项评审内容完全满足评审标准得3分； ②每一项评审内容若存在方案不明确、不合理、不完整、针对性不强等方面，扣1分；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1、评审内容:投标人根据本项目采购内容及技术要求，拟投入本项目团队人员配备清单，内容包括但不限于：①人员基本情况；②人员岗位职责分工。满分4分。每有一项内容中有缺陷，指项目需求不匹配或不能满足项目实施要求及其他不利于项目实施的扣1分，扣完为止。说明:未提供不得分。备注:项目组人员须提供人员劳动合同或在本单位近半年内任意一个月缴纳的社会保险缴纳凭证，职称证、学历证等资料。 2、项目团队中具有本项目相关专业中级职称的提供一个得1分，相关专业高级职称提供一个得2分。此项最高6分。不提供不得分(需提供证书复印件加盖单位公章，同时需提供人员劳动合同或在本单位近半年内任意一个月缴纳的社会保险缴纳凭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项目人员配置.docx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投标人提供自2022年9月至今（以签订合同时间为准）的类似合同，需提供合同复印件，每提供一份得2分，最高得10分。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1.满足招标文件实质性要求且报价最低的投标人的价格为投标基准价，其价格分为满分20分。 2.投标报价得分=（投标基准价/投标报价）×20的公式计算得分。 3.投标报价不完整的，不进入评标标准价的计算，本项得0分。 4.经评标小组一致认定，超过预算金额,其响应将被拒绝。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详见附件：项目人员配置.docx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