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版本号：GCZB2025-09-192-Y20251114001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2025年“多维立体化”宣传推广项目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GCZB2025-09-192-Y</w:t>
      </w:r>
      <w:r>
        <w:br/>
      </w:r>
      <w:r>
        <w:br/>
      </w:r>
      <w:r>
        <w:br/>
      </w:r>
    </w:p>
    <w:p>
      <w:pPr>
        <w:pStyle w:val="null3"/>
        <w:jc w:val="center"/>
        <w:outlineLvl w:val="2"/>
      </w:pPr>
      <w:r>
        <w:rPr>
          <w:rFonts w:ascii="仿宋_GB2312" w:hAnsi="仿宋_GB2312" w:cs="仿宋_GB2312" w:eastAsia="仿宋_GB2312"/>
          <w:sz w:val="28"/>
          <w:b/>
        </w:rPr>
        <w:t>渭南市文化和旅游局</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渭南市文化和旅游局</w:t>
      </w:r>
      <w:r>
        <w:rPr>
          <w:rFonts w:ascii="仿宋_GB2312" w:hAnsi="仿宋_GB2312" w:cs="仿宋_GB2312" w:eastAsia="仿宋_GB2312"/>
        </w:rPr>
        <w:t>委托，拟对</w:t>
      </w:r>
      <w:r>
        <w:rPr>
          <w:rFonts w:ascii="仿宋_GB2312" w:hAnsi="仿宋_GB2312" w:cs="仿宋_GB2312" w:eastAsia="仿宋_GB2312"/>
        </w:rPr>
        <w:t>2025年“多维立体化”宣传推广项目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GCZB2025-09-192-Y</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2025年“多维立体化”宣传推广项目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本项目秉承展示、宣传、继承与弘扬渭南市丰厚文化资源与旅游资源的宗旨，旨在打造一个集标志性、真实性、独特性、直观性、艺术性、体验性和互动性于一身的多维度体验项目。借助裸眼 3D 体验、VR虚拟体验、主题视频宣传三种方式，将渭南市的城市核心文化、景区、非遗及当地美食特产等资源进行生动、全面、立体的展现；深入挖掘其背后的历史故事、文化内涵和精神价值，让大众对渭南文旅资源有更深刻、更系统的认知。 本项目通过创新的宣传形式和优质的内容，形成强大的口碑效应和持续的宣传热度，推动文旅产业与数字技术、文化创意等产业的深度融合，催生新的文旅产品和服务模式，延伸文旅产业链条，提升产业附加值，促进渭南文旅产业的可持续发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2、财务状况报告：提供经审计的2023年度或2024年度的财务报告或提交投标文件截止时间前六个月内其银行出具的资信证明；其他组织和自然人提供银行出具的资信证明或财务报表；</w:t>
      </w:r>
    </w:p>
    <w:p>
      <w:pPr>
        <w:pStyle w:val="null3"/>
      </w:pPr>
      <w:r>
        <w:rPr>
          <w:rFonts w:ascii="仿宋_GB2312" w:hAnsi="仿宋_GB2312" w:cs="仿宋_GB2312" w:eastAsia="仿宋_GB2312"/>
        </w:rPr>
        <w:t>3、税收缴纳证明：提供投标文件递交截止日前一年内已缴存的至少一个月的纳税证明或完税证明。依法免税的投标人应提供相关文件证明；</w:t>
      </w:r>
    </w:p>
    <w:p>
      <w:pPr>
        <w:pStyle w:val="null3"/>
      </w:pPr>
      <w:r>
        <w:rPr>
          <w:rFonts w:ascii="仿宋_GB2312" w:hAnsi="仿宋_GB2312" w:cs="仿宋_GB2312" w:eastAsia="仿宋_GB2312"/>
        </w:rPr>
        <w:t>4、社会保障资金缴纳证明：提供投标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p>
      <w:pPr>
        <w:pStyle w:val="null3"/>
      </w:pPr>
      <w:r>
        <w:rPr>
          <w:rFonts w:ascii="仿宋_GB2312" w:hAnsi="仿宋_GB2312" w:cs="仿宋_GB2312" w:eastAsia="仿宋_GB2312"/>
        </w:rPr>
        <w:t>6、具有履行合同所必须的设备和专业技术能力：具有履行合同所必须的设备和专业技术能力的承诺及说明；</w:t>
      </w:r>
    </w:p>
    <w:p>
      <w:pPr>
        <w:pStyle w:val="null3"/>
      </w:pPr>
      <w:r>
        <w:rPr>
          <w:rFonts w:ascii="仿宋_GB2312" w:hAnsi="仿宋_GB2312" w:cs="仿宋_GB2312" w:eastAsia="仿宋_GB2312"/>
        </w:rPr>
        <w:t>7、法定代表人授权书：投标人应授权合法的人员参加投标，其中法定代表人直接参加的，须出具法定代表人证明书；被授权代表参加的，须出具法定代表人授权书；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渭南市文化和旅游局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渭南市人民政府 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王乐鋆</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0913-2931900</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 xml:space="preserve"> 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杨翠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029-89289291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否</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否</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采购包1保证金金额：60,000.00元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代理服务费收费标准：参照国家发展和改革委员会《招标代理服务收费暂行办法》（计价格[2002]1980号）及发改办价格[2003]857号文件的规定标准收取。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渭南市文化和旅游局</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渭南市文化和旅游局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渭南市文化和旅游局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联系电话：029-89289291（549470923@qq.com）</w:t>
      </w:r>
    </w:p>
    <w:p>
      <w:pPr>
        <w:pStyle w:val="null3"/>
      </w:pPr>
      <w:r>
        <w:rPr>
          <w:rFonts w:ascii="仿宋_GB2312" w:hAnsi="仿宋_GB2312" w:cs="仿宋_GB2312" w:eastAsia="仿宋_GB2312"/>
        </w:rPr>
        <w:t>地址：西安市高新区高新一路正信大厦A座24楼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渭南市文化和旅游局2025年“多维立体化”宣传推广项目，具体详见技术要求。</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3,000,000.00</w:t>
      </w:r>
    </w:p>
    <w:p>
      <w:pPr>
        <w:pStyle w:val="null3"/>
      </w:pPr>
      <w:r>
        <w:rPr>
          <w:rFonts w:ascii="仿宋_GB2312" w:hAnsi="仿宋_GB2312" w:cs="仿宋_GB2312" w:eastAsia="仿宋_GB2312"/>
        </w:rPr>
        <w:t>采购包最高限价（元）: 3,000,000.00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2025年“多维立体化”宣传推广项目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标的名称：2025年“多维立体化”宣传推广项目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一</w:t>
            </w:r>
            <w:r>
              <w:rPr>
                <w:rFonts w:ascii="仿宋_GB2312" w:hAnsi="仿宋_GB2312" w:cs="仿宋_GB2312" w:eastAsia="仿宋_GB2312"/>
              </w:rPr>
              <w:t>、项目背景</w:t>
            </w:r>
          </w:p>
          <w:p>
            <w:pPr>
              <w:pStyle w:val="null3"/>
              <w:jc w:val="both"/>
            </w:pPr>
            <w:r>
              <w:rPr>
                <w:rFonts w:ascii="仿宋_GB2312" w:hAnsi="仿宋_GB2312" w:cs="仿宋_GB2312" w:eastAsia="仿宋_GB2312"/>
              </w:rPr>
              <w:t>渭南市，一座矗立在关中平原东部的历史文化名城，是黄河最大支流渭河的重要流经地，更是中华民族和华夏文明的重要发祥地之一，有着</w:t>
            </w:r>
            <w:r>
              <w:rPr>
                <w:rFonts w:ascii="仿宋_GB2312" w:hAnsi="仿宋_GB2312" w:cs="仿宋_GB2312" w:eastAsia="仿宋_GB2312"/>
              </w:rPr>
              <w:t>“华夏之根、文化之源” 的美誉。这里孕育了仰韶文化、龙山文化等灿烂文明，司马迁、白居易等历史名人在此留下千古佳话，西岳华山更是以其险峻奇绝闻名天下。近年来，随着文旅产业的蓬勃发展，数字技术的不断革新，本项目将借助裸眼 3D 体验、VR 虚拟体验、主题视频宣传 “三维一体” 的创新形式，对渭南的历史文化、自然风光、美食特产等文旅资源进行全方位、多角度、深层次的展示。进而推动渭南文旅产业的转型升级和高质量发展，为城市经济增长注入强劲新活力。</w:t>
            </w:r>
          </w:p>
          <w:p>
            <w:pPr>
              <w:pStyle w:val="null3"/>
              <w:jc w:val="both"/>
            </w:pPr>
            <w:r>
              <w:rPr>
                <w:rFonts w:ascii="仿宋_GB2312" w:hAnsi="仿宋_GB2312" w:cs="仿宋_GB2312" w:eastAsia="仿宋_GB2312"/>
              </w:rPr>
              <w:t>二</w:t>
            </w:r>
            <w:r>
              <w:rPr>
                <w:rFonts w:ascii="仿宋_GB2312" w:hAnsi="仿宋_GB2312" w:cs="仿宋_GB2312" w:eastAsia="仿宋_GB2312"/>
              </w:rPr>
              <w:t>、项目建设目标</w:t>
            </w:r>
          </w:p>
          <w:p>
            <w:pPr>
              <w:pStyle w:val="null3"/>
              <w:jc w:val="both"/>
            </w:pPr>
            <w:r>
              <w:rPr>
                <w:rFonts w:ascii="仿宋_GB2312" w:hAnsi="仿宋_GB2312" w:cs="仿宋_GB2312" w:eastAsia="仿宋_GB2312"/>
              </w:rPr>
              <w:t>本项目秉承展示、宣传、继承与弘扬渭南市丰厚文化资源与旅游资源的宗旨，旨在打造一个集标志性、真实性、独特性、直观性、艺术性、体验性和互动性于一身的多维度体验项目。借助裸眼</w:t>
            </w:r>
            <w:r>
              <w:rPr>
                <w:rFonts w:ascii="仿宋_GB2312" w:hAnsi="仿宋_GB2312" w:cs="仿宋_GB2312" w:eastAsia="仿宋_GB2312"/>
              </w:rPr>
              <w:t>3D 体验、VR虚拟体验、主题视频宣传三种方式，将渭南市的城市核心文化、景区、非遗及当地美食特产等资源进行生动、全面、立体的展现；深入挖掘其背后的历史故事、文化内涵和精神价值，让大众对渭南文旅资源有更深刻、更系统的认知。</w:t>
            </w:r>
          </w:p>
          <w:p>
            <w:pPr>
              <w:pStyle w:val="null3"/>
              <w:jc w:val="both"/>
            </w:pPr>
            <w:r>
              <w:rPr>
                <w:rFonts w:ascii="仿宋_GB2312" w:hAnsi="仿宋_GB2312" w:cs="仿宋_GB2312" w:eastAsia="仿宋_GB2312"/>
              </w:rPr>
              <w:t>本项目通过创新的宣传形式和优质的内容，形成强大的口碑效应和持续的宣传热度，推动文旅产业与数字技术、文化创意等产业的深度融合，催生新的文旅产品和服务模式，延伸文旅产业链条，提升产业附加值，促进渭南文旅产业的可持续发展。</w:t>
            </w:r>
          </w:p>
          <w:p>
            <w:pPr>
              <w:pStyle w:val="null3"/>
              <w:jc w:val="both"/>
            </w:pPr>
            <w:r>
              <w:rPr>
                <w:rFonts w:ascii="仿宋_GB2312" w:hAnsi="仿宋_GB2312" w:cs="仿宋_GB2312" w:eastAsia="仿宋_GB2312"/>
              </w:rPr>
              <w:t>三</w:t>
            </w:r>
            <w:r>
              <w:rPr>
                <w:rFonts w:ascii="仿宋_GB2312" w:hAnsi="仿宋_GB2312" w:cs="仿宋_GB2312" w:eastAsia="仿宋_GB2312"/>
              </w:rPr>
              <w:t>、项目建设内容及相关要求</w:t>
            </w:r>
          </w:p>
          <w:p>
            <w:pPr>
              <w:pStyle w:val="null3"/>
              <w:jc w:val="both"/>
            </w:pPr>
            <w:r>
              <w:rPr>
                <w:rFonts w:ascii="仿宋_GB2312" w:hAnsi="仿宋_GB2312" w:cs="仿宋_GB2312" w:eastAsia="仿宋_GB2312"/>
              </w:rPr>
              <w:t>（一）裸眼</w:t>
            </w:r>
            <w:r>
              <w:rPr>
                <w:rFonts w:ascii="仿宋_GB2312" w:hAnsi="仿宋_GB2312" w:cs="仿宋_GB2312" w:eastAsia="仿宋_GB2312"/>
              </w:rPr>
              <w:t>3D片源制作</w:t>
            </w:r>
          </w:p>
          <w:p>
            <w:pPr>
              <w:pStyle w:val="null3"/>
              <w:jc w:val="both"/>
            </w:pPr>
            <w:r>
              <w:rPr>
                <w:rFonts w:ascii="仿宋_GB2312" w:hAnsi="仿宋_GB2312" w:cs="仿宋_GB2312" w:eastAsia="仿宋_GB2312"/>
              </w:rPr>
              <w:t>(1)形式要求：需采用领先的裸眼 3D 技术进行制作，确保画面具有极强的立体感和视觉冲击力，让观众能获得仿佛置身其中的沉浸式观看体验。画面的立体感要自然真实，避免出现视觉疲劳等不适反应。</w:t>
            </w:r>
          </w:p>
          <w:p>
            <w:pPr>
              <w:pStyle w:val="null3"/>
              <w:jc w:val="both"/>
            </w:pPr>
            <w:r>
              <w:rPr>
                <w:rFonts w:ascii="仿宋_GB2312" w:hAnsi="仿宋_GB2312" w:cs="仿宋_GB2312" w:eastAsia="仿宋_GB2312"/>
              </w:rPr>
              <w:t>(2)内容要求：内容需紧紧围绕渭南主要城市文化展开，内容要突出渭南文化的独特性和代表性，</w:t>
            </w:r>
            <w:r>
              <w:rPr>
                <w:rFonts w:ascii="仿宋_GB2312" w:hAnsi="仿宋_GB2312" w:cs="仿宋_GB2312" w:eastAsia="仿宋_GB2312"/>
              </w:rPr>
              <w:t>聚焦</w:t>
            </w:r>
            <w:r>
              <w:rPr>
                <w:rFonts w:ascii="仿宋_GB2312" w:hAnsi="仿宋_GB2312" w:cs="仿宋_GB2312" w:eastAsia="仿宋_GB2312"/>
              </w:rPr>
              <w:t>渭南</w:t>
            </w:r>
            <w:r>
              <w:rPr>
                <w:rFonts w:ascii="仿宋_GB2312" w:hAnsi="仿宋_GB2312" w:cs="仿宋_GB2312" w:eastAsia="仿宋_GB2312"/>
              </w:rPr>
              <w:t>市最具</w:t>
            </w:r>
            <w:r>
              <w:rPr>
                <w:rFonts w:ascii="仿宋_GB2312" w:hAnsi="仿宋_GB2312" w:cs="仿宋_GB2312" w:eastAsia="仿宋_GB2312"/>
              </w:rPr>
              <w:t>城市</w:t>
            </w:r>
            <w:r>
              <w:rPr>
                <w:rFonts w:ascii="仿宋_GB2312" w:hAnsi="仿宋_GB2312" w:cs="仿宋_GB2312" w:eastAsia="仿宋_GB2312"/>
              </w:rPr>
              <w:t>核心文化、景区、非遗</w:t>
            </w:r>
            <w:r>
              <w:rPr>
                <w:rFonts w:ascii="仿宋_GB2312" w:hAnsi="仿宋_GB2312" w:cs="仿宋_GB2312" w:eastAsia="仿宋_GB2312"/>
              </w:rPr>
              <w:t>及</w:t>
            </w:r>
            <w:r>
              <w:rPr>
                <w:rFonts w:ascii="仿宋_GB2312" w:hAnsi="仿宋_GB2312" w:cs="仿宋_GB2312" w:eastAsia="仿宋_GB2312"/>
              </w:rPr>
              <w:t>标志性美食特产等资</w:t>
            </w:r>
            <w:r>
              <w:rPr>
                <w:rFonts w:ascii="仿宋_GB2312" w:hAnsi="仿宋_GB2312" w:cs="仿宋_GB2312" w:eastAsia="仿宋_GB2312"/>
              </w:rPr>
              <w:t>源。如三圣文化、华山、洽川风景名胜区、华县皮影、华阴老腔、澄城水盆羊肉、潼关肉夹馍、富平流曲琼锅糖。内容</w:t>
            </w:r>
            <w:r>
              <w:rPr>
                <w:rFonts w:ascii="仿宋_GB2312" w:hAnsi="仿宋_GB2312" w:cs="仿宋_GB2312" w:eastAsia="仿宋_GB2312"/>
              </w:rPr>
              <w:t>真实、准确、积极向上，同时融入富有创意的表现手法，增强吸引力和感染力，充分展现渭南的文化魅力。</w:t>
            </w:r>
          </w:p>
          <w:p>
            <w:pPr>
              <w:pStyle w:val="null3"/>
              <w:jc w:val="both"/>
            </w:pPr>
            <w:r>
              <w:rPr>
                <w:rFonts w:ascii="仿宋_GB2312" w:hAnsi="仿宋_GB2312" w:cs="仿宋_GB2312" w:eastAsia="仿宋_GB2312"/>
              </w:rPr>
              <w:t>(3)时长要求：内容时长控制在 45 秒左右，整体节奏紧凑、流畅，在有限的时间内合理分配各部分内容的时长，确保信息传递丰富且重点突出。开篇要迅速抓住观众眼球，中间内容层层递进，结尾留下深刻印象。</w:t>
            </w:r>
          </w:p>
          <w:p>
            <w:pPr>
              <w:pStyle w:val="null3"/>
              <w:jc w:val="both"/>
            </w:pPr>
            <w:r>
              <w:rPr>
                <w:rFonts w:ascii="仿宋_GB2312" w:hAnsi="仿宋_GB2312" w:cs="仿宋_GB2312" w:eastAsia="仿宋_GB2312"/>
              </w:rPr>
              <w:t>(4)技术指标：画面分辨率不低于 4K（3840×2160），帧率不低于 60fps，确保画面清晰、细腻、稳定、无卡顿。色彩还原度高，能够准确呈现渭南不同场景的色彩特点，如历史古迹的古朴色调、自然景观的绚丽色彩、现代城市的明快色调等，符合渭南城市文化的整体风格。</w:t>
            </w:r>
          </w:p>
          <w:p>
            <w:pPr>
              <w:pStyle w:val="null3"/>
              <w:jc w:val="both"/>
            </w:pPr>
            <w:r>
              <w:rPr>
                <w:rFonts w:ascii="仿宋_GB2312" w:hAnsi="仿宋_GB2312" w:cs="仿宋_GB2312" w:eastAsia="仿宋_GB2312"/>
              </w:rPr>
              <w:t>（二）</w:t>
            </w:r>
            <w:r>
              <w:rPr>
                <w:rFonts w:ascii="仿宋_GB2312" w:hAnsi="仿宋_GB2312" w:cs="仿宋_GB2312" w:eastAsia="仿宋_GB2312"/>
              </w:rPr>
              <w:t>VR 虚拟体验</w:t>
            </w:r>
          </w:p>
          <w:p>
            <w:pPr>
              <w:pStyle w:val="null3"/>
              <w:jc w:val="both"/>
            </w:pPr>
            <w:r>
              <w:rPr>
                <w:rFonts w:ascii="仿宋_GB2312" w:hAnsi="仿宋_GB2312" w:cs="仿宋_GB2312" w:eastAsia="仿宋_GB2312"/>
              </w:rPr>
              <w:t>(1)形式要求：采用高品质的 VR 技术，搭载先进的头显设备，为用户提供身临其境的沉浸式体验感。操作界面简洁直观，操作流程简单、便捷。</w:t>
            </w:r>
          </w:p>
          <w:p>
            <w:pPr>
              <w:pStyle w:val="null3"/>
              <w:jc w:val="both"/>
            </w:pPr>
            <w:r>
              <w:rPr>
                <w:rFonts w:ascii="仿宋_GB2312" w:hAnsi="仿宋_GB2312" w:cs="仿宋_GB2312" w:eastAsia="仿宋_GB2312"/>
              </w:rPr>
              <w:t>(2)内容要求：重点介绍渭南当地的文化、美食特产等资源，构建特色 VR 场景。内容生动有趣，实时交互。</w:t>
            </w:r>
          </w:p>
          <w:p>
            <w:pPr>
              <w:pStyle w:val="null3"/>
              <w:jc w:val="both"/>
            </w:pPr>
            <w:r>
              <w:rPr>
                <w:rFonts w:ascii="仿宋_GB2312" w:hAnsi="仿宋_GB2312" w:cs="仿宋_GB2312" w:eastAsia="仿宋_GB2312"/>
              </w:rPr>
              <w:t>具体包括渭南市演绎场景</w:t>
            </w:r>
            <w:r>
              <w:rPr>
                <w:rFonts w:ascii="仿宋_GB2312" w:hAnsi="仿宋_GB2312" w:cs="仿宋_GB2312" w:eastAsia="仿宋_GB2312"/>
              </w:rPr>
              <w:t>2处、美食2处，要求场景过渡自然流畅，保证用户能全面体验内容。</w:t>
            </w:r>
          </w:p>
          <w:p>
            <w:pPr>
              <w:pStyle w:val="null3"/>
              <w:jc w:val="both"/>
            </w:pPr>
            <w:r>
              <w:rPr>
                <w:rFonts w:ascii="仿宋_GB2312" w:hAnsi="仿宋_GB2312" w:cs="仿宋_GB2312" w:eastAsia="仿宋_GB2312"/>
              </w:rPr>
              <w:t>(3)技术要求：VR 场景建模精细，细节丰富，场景真实感强，纹理质感清晰，光影效果自然，能够高度还原真实场景的物理特性。交互设计合理、流畅，音效清晰、逼真，与场景内容相匹配，增强沉浸感。</w:t>
            </w:r>
          </w:p>
          <w:p>
            <w:pPr>
              <w:pStyle w:val="null3"/>
              <w:jc w:val="both"/>
            </w:pPr>
            <w:r>
              <w:rPr>
                <w:rFonts w:ascii="仿宋_GB2312" w:hAnsi="仿宋_GB2312" w:cs="仿宋_GB2312" w:eastAsia="仿宋_GB2312"/>
              </w:rPr>
              <w:t>（三）主题视频宣传</w:t>
            </w:r>
          </w:p>
          <w:p>
            <w:pPr>
              <w:pStyle w:val="null3"/>
              <w:jc w:val="both"/>
            </w:pPr>
            <w:r>
              <w:rPr>
                <w:rFonts w:ascii="仿宋_GB2312" w:hAnsi="仿宋_GB2312" w:cs="仿宋_GB2312" w:eastAsia="仿宋_GB2312"/>
              </w:rPr>
              <w:t>(1)形式</w:t>
            </w:r>
            <w:r>
              <w:rPr>
                <w:rFonts w:ascii="仿宋_GB2312" w:hAnsi="仿宋_GB2312" w:cs="仿宋_GB2312" w:eastAsia="仿宋_GB2312"/>
              </w:rPr>
              <w:t>要求：</w:t>
            </w:r>
            <w:r>
              <w:rPr>
                <w:rFonts w:ascii="仿宋_GB2312" w:hAnsi="仿宋_GB2312" w:cs="仿宋_GB2312" w:eastAsia="仿宋_GB2312"/>
              </w:rPr>
              <w:t>由甲方</w:t>
            </w:r>
            <w:r>
              <w:rPr>
                <w:rFonts w:ascii="仿宋_GB2312" w:hAnsi="仿宋_GB2312" w:cs="仿宋_GB2312" w:eastAsia="仿宋_GB2312"/>
              </w:rPr>
              <w:t>提供渭南市高清制作的宣传片及拍摄素材，</w:t>
            </w:r>
            <w:r>
              <w:rPr>
                <w:rFonts w:ascii="仿宋_GB2312" w:hAnsi="仿宋_GB2312" w:cs="仿宋_GB2312" w:eastAsia="仿宋_GB2312"/>
              </w:rPr>
              <w:t>乙方</w:t>
            </w:r>
            <w:r>
              <w:rPr>
                <w:rFonts w:ascii="仿宋_GB2312" w:hAnsi="仿宋_GB2312" w:cs="仿宋_GB2312" w:eastAsia="仿宋_GB2312"/>
              </w:rPr>
              <w:t>在此素材基础上进行剪辑、配音，调整画面以适配数字大屏。最终剪辑视频将通过数字大屏的形式进行轮播。</w:t>
            </w:r>
          </w:p>
          <w:p>
            <w:pPr>
              <w:pStyle w:val="null3"/>
              <w:jc w:val="both"/>
            </w:pPr>
            <w:r>
              <w:rPr>
                <w:rFonts w:ascii="仿宋_GB2312" w:hAnsi="仿宋_GB2312" w:cs="仿宋_GB2312" w:eastAsia="仿宋_GB2312"/>
              </w:rPr>
              <w:t>(2)时长要求：内容时长 3 分钟，结构清晰，层次分明，分为开篇引入、主体介绍、结尾升华三个部分。能够让观众在短时间内对渭南的文旅资源有全面、深入的了解。</w:t>
            </w:r>
          </w:p>
          <w:p>
            <w:pPr>
              <w:pStyle w:val="null3"/>
              <w:jc w:val="both"/>
            </w:pPr>
            <w:r>
              <w:rPr>
                <w:rFonts w:ascii="仿宋_GB2312" w:hAnsi="仿宋_GB2312" w:cs="仿宋_GB2312" w:eastAsia="仿宋_GB2312"/>
              </w:rPr>
              <w:t>(3)技术要求：分辨率不低于 1080P（1920×1080），配音专业、富有感染力，语音清晰、语调适中，能够准确传达内容的情感；背景音乐与内容风格相符。</w:t>
            </w:r>
          </w:p>
          <w:p>
            <w:pPr>
              <w:pStyle w:val="null3"/>
              <w:jc w:val="both"/>
            </w:pPr>
            <w:r>
              <w:rPr>
                <w:rFonts w:ascii="仿宋_GB2312" w:hAnsi="仿宋_GB2312" w:cs="仿宋_GB2312" w:eastAsia="仿宋_GB2312"/>
              </w:rPr>
              <w:t>（四）宣传推广</w:t>
            </w:r>
          </w:p>
          <w:p>
            <w:pPr>
              <w:pStyle w:val="null3"/>
              <w:jc w:val="both"/>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w:t>
            </w:r>
            <w:r>
              <w:rPr>
                <w:rFonts w:ascii="仿宋_GB2312" w:hAnsi="仿宋_GB2312" w:cs="仿宋_GB2312" w:eastAsia="仿宋_GB2312"/>
              </w:rPr>
              <w:t>围绕渭南优质旅游、人文、文化、传统风俗等内容制定宣传策划方案。项目最终将融合渭南历史遗迹、自然风光以及民俗特色，采用第一视角叙述，结合高科技裸眼</w:t>
            </w:r>
            <w:r>
              <w:rPr>
                <w:rFonts w:ascii="仿宋_GB2312" w:hAnsi="仿宋_GB2312" w:cs="仿宋_GB2312" w:eastAsia="仿宋_GB2312"/>
              </w:rPr>
              <w:t>3D效果与VR技术，展现渭南古今交融的独特韵味，创造沉浸式体验。</w:t>
            </w:r>
          </w:p>
          <w:p>
            <w:pPr>
              <w:pStyle w:val="null3"/>
              <w:jc w:val="both"/>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w:t>
            </w:r>
            <w:r>
              <w:rPr>
                <w:rFonts w:ascii="仿宋_GB2312" w:hAnsi="仿宋_GB2312" w:cs="仿宋_GB2312" w:eastAsia="仿宋_GB2312"/>
              </w:rPr>
              <w:t>本项目打造的沉浸式体验场景，将创新渭南文化旅游资源的宣传推广方式，展现渭南丰富的旅游文化资源，制作完成的裸眼</w:t>
            </w:r>
            <w:r>
              <w:rPr>
                <w:rFonts w:ascii="仿宋_GB2312" w:hAnsi="仿宋_GB2312" w:cs="仿宋_GB2312" w:eastAsia="仿宋_GB2312"/>
              </w:rPr>
              <w:t>3D视频及宣传片将在指定位置进行</w:t>
            </w:r>
            <w:r>
              <w:rPr>
                <w:rFonts w:ascii="仿宋_GB2312" w:hAnsi="仿宋_GB2312" w:cs="仿宋_GB2312" w:eastAsia="仿宋_GB2312"/>
              </w:rPr>
              <w:t>投放</w:t>
            </w:r>
            <w:r>
              <w:rPr>
                <w:rFonts w:ascii="仿宋_GB2312" w:hAnsi="仿宋_GB2312" w:cs="仿宋_GB2312" w:eastAsia="仿宋_GB2312"/>
              </w:rPr>
              <w:t>，轮播场地安排专人负责维护运营。</w:t>
            </w:r>
            <w:r>
              <w:rPr>
                <w:rFonts w:ascii="仿宋_GB2312" w:hAnsi="仿宋_GB2312" w:cs="仿宋_GB2312" w:eastAsia="仿宋_GB2312"/>
              </w:rPr>
              <w:t>播放时间段不少于</w:t>
            </w:r>
            <w:r>
              <w:rPr>
                <w:rFonts w:ascii="仿宋_GB2312" w:hAnsi="仿宋_GB2312" w:cs="仿宋_GB2312" w:eastAsia="仿宋_GB2312"/>
              </w:rPr>
              <w:t>1年。</w:t>
            </w:r>
          </w:p>
          <w:p>
            <w:pPr>
              <w:pStyle w:val="null3"/>
              <w:jc w:val="both"/>
            </w:pPr>
            <w:r>
              <w:rPr>
                <w:rFonts w:ascii="仿宋_GB2312" w:hAnsi="仿宋_GB2312" w:cs="仿宋_GB2312" w:eastAsia="仿宋_GB2312"/>
              </w:rPr>
              <w:t>（</w:t>
            </w:r>
            <w:r>
              <w:rPr>
                <w:rFonts w:ascii="仿宋_GB2312" w:hAnsi="仿宋_GB2312" w:cs="仿宋_GB2312" w:eastAsia="仿宋_GB2312"/>
              </w:rPr>
              <w:t>3</w:t>
            </w:r>
            <w:r>
              <w:rPr>
                <w:rFonts w:ascii="仿宋_GB2312" w:hAnsi="仿宋_GB2312" w:cs="仿宋_GB2312" w:eastAsia="仿宋_GB2312"/>
              </w:rPr>
              <w:t>）</w:t>
            </w:r>
            <w:r>
              <w:rPr>
                <w:rFonts w:ascii="仿宋_GB2312" w:hAnsi="仿宋_GB2312" w:cs="仿宋_GB2312" w:eastAsia="仿宋_GB2312"/>
              </w:rPr>
              <w:t>裸眼</w:t>
            </w:r>
            <w:r>
              <w:rPr>
                <w:rFonts w:ascii="仿宋_GB2312" w:hAnsi="仿宋_GB2312" w:cs="仿宋_GB2312" w:eastAsia="仿宋_GB2312"/>
              </w:rPr>
              <w:t>3D片源播放视频时长为45秒/片，全天播放不低于10次，每月播放不低于300次，全年播放不低于3600次，全年覆盖人流量累计不少于8万人次。</w:t>
            </w:r>
          </w:p>
          <w:p>
            <w:pPr>
              <w:pStyle w:val="null3"/>
              <w:jc w:val="both"/>
            </w:pPr>
            <w:r>
              <w:rPr>
                <w:rFonts w:ascii="仿宋_GB2312" w:hAnsi="仿宋_GB2312" w:cs="仿宋_GB2312" w:eastAsia="仿宋_GB2312"/>
              </w:rPr>
              <w:t>（</w:t>
            </w:r>
            <w:r>
              <w:rPr>
                <w:rFonts w:ascii="仿宋_GB2312" w:hAnsi="仿宋_GB2312" w:cs="仿宋_GB2312" w:eastAsia="仿宋_GB2312"/>
              </w:rPr>
              <w:t>4）</w:t>
            </w:r>
            <w:r>
              <w:rPr>
                <w:rFonts w:ascii="仿宋_GB2312" w:hAnsi="仿宋_GB2312" w:cs="仿宋_GB2312" w:eastAsia="仿宋_GB2312"/>
              </w:rPr>
              <w:t xml:space="preserve">VR </w:t>
            </w:r>
            <w:r>
              <w:rPr>
                <w:rFonts w:ascii="仿宋_GB2312" w:hAnsi="仿宋_GB2312" w:cs="仿宋_GB2312" w:eastAsia="仿宋_GB2312"/>
              </w:rPr>
              <w:t>虚拟</w:t>
            </w:r>
            <w:r>
              <w:rPr>
                <w:rFonts w:ascii="仿宋_GB2312" w:hAnsi="仿宋_GB2312" w:cs="仿宋_GB2312" w:eastAsia="仿宋_GB2312"/>
              </w:rPr>
              <w:t>体验</w:t>
            </w:r>
            <w:r>
              <w:rPr>
                <w:rFonts w:ascii="仿宋_GB2312" w:hAnsi="仿宋_GB2312" w:cs="仿宋_GB2312" w:eastAsia="仿宋_GB2312"/>
              </w:rPr>
              <w:t>全天播放场次不少于</w:t>
            </w:r>
            <w:r>
              <w:rPr>
                <w:rFonts w:ascii="仿宋_GB2312" w:hAnsi="仿宋_GB2312" w:cs="仿宋_GB2312" w:eastAsia="仿宋_GB2312"/>
              </w:rPr>
              <w:t>2场，每月不少于60场，全年不少于720场。</w:t>
            </w:r>
          </w:p>
          <w:p>
            <w:pPr>
              <w:pStyle w:val="null3"/>
              <w:jc w:val="both"/>
            </w:pPr>
            <w:r>
              <w:rPr>
                <w:rFonts w:ascii="仿宋_GB2312" w:hAnsi="仿宋_GB2312" w:cs="仿宋_GB2312" w:eastAsia="仿宋_GB2312"/>
              </w:rPr>
              <w:t>（</w:t>
            </w:r>
            <w:r>
              <w:rPr>
                <w:rFonts w:ascii="仿宋_GB2312" w:hAnsi="仿宋_GB2312" w:cs="仿宋_GB2312" w:eastAsia="仿宋_GB2312"/>
              </w:rPr>
              <w:t>5）主题视频宣传播放时长为180秒/片，全天播放不少于10次，每月播放不少于300次，全年播放不少于3600次，全年覆盖人流量累计不少于8万人次。</w:t>
            </w:r>
          </w:p>
          <w:p>
            <w:pPr>
              <w:pStyle w:val="null3"/>
              <w:jc w:val="both"/>
            </w:pPr>
            <w:r>
              <w:rPr>
                <w:rFonts w:ascii="仿宋_GB2312" w:hAnsi="仿宋_GB2312" w:cs="仿宋_GB2312" w:eastAsia="仿宋_GB2312"/>
              </w:rPr>
              <w:t>具体要求如下表：</w:t>
            </w:r>
          </w:p>
          <w:p>
            <w:pPr>
              <w:pStyle w:val="null3"/>
              <w:jc w:val="both"/>
            </w:pPr>
            <w:r>
              <w:rPr>
                <w:rFonts w:ascii="仿宋_GB2312" w:hAnsi="仿宋_GB2312" w:cs="仿宋_GB2312" w:eastAsia="仿宋_GB2312"/>
              </w:rPr>
              <w:t>四</w:t>
            </w:r>
            <w:r>
              <w:rPr>
                <w:rFonts w:ascii="仿宋_GB2312" w:hAnsi="仿宋_GB2312" w:cs="仿宋_GB2312" w:eastAsia="仿宋_GB2312"/>
              </w:rPr>
              <w:t>、技术方案要求</w:t>
            </w:r>
          </w:p>
          <w:p>
            <w:pPr>
              <w:pStyle w:val="null3"/>
              <w:jc w:val="both"/>
            </w:pPr>
            <w:r>
              <w:rPr>
                <w:rFonts w:ascii="仿宋_GB2312" w:hAnsi="仿宋_GB2312" w:cs="仿宋_GB2312" w:eastAsia="仿宋_GB2312"/>
              </w:rPr>
              <w:t>(1)投标人需根据项目建设内容和要求，制定详细的技术实施方案，包括技术路线、制作流程、质量控制措施等。</w:t>
            </w:r>
          </w:p>
          <w:p>
            <w:pPr>
              <w:pStyle w:val="null3"/>
              <w:jc w:val="both"/>
            </w:pPr>
            <w:r>
              <w:rPr>
                <w:rFonts w:ascii="仿宋_GB2312" w:hAnsi="仿宋_GB2312" w:cs="仿宋_GB2312" w:eastAsia="仿宋_GB2312"/>
              </w:rPr>
              <w:t>(2)技术方案需体现先进性、可行性和创新性，能够满足项目的各项技术指标和用户体验要求。</w:t>
            </w:r>
          </w:p>
          <w:p>
            <w:pPr>
              <w:pStyle w:val="null3"/>
              <w:jc w:val="both"/>
            </w:pPr>
            <w:r>
              <w:rPr>
                <w:rFonts w:ascii="仿宋_GB2312" w:hAnsi="仿宋_GB2312" w:cs="仿宋_GB2312" w:eastAsia="仿宋_GB2312"/>
              </w:rPr>
              <w:t>技术方案中需包含项目实施的时间进度安排，确保项目能够按时完成。</w:t>
            </w:r>
          </w:p>
          <w:p>
            <w:pPr>
              <w:pStyle w:val="null3"/>
              <w:jc w:val="both"/>
            </w:pPr>
            <w:r>
              <w:rPr>
                <w:rFonts w:ascii="仿宋_GB2312" w:hAnsi="仿宋_GB2312" w:cs="仿宋_GB2312" w:eastAsia="仿宋_GB2312"/>
              </w:rPr>
              <w:t>五</w:t>
            </w:r>
            <w:r>
              <w:rPr>
                <w:rFonts w:ascii="仿宋_GB2312" w:hAnsi="仿宋_GB2312" w:cs="仿宋_GB2312" w:eastAsia="仿宋_GB2312"/>
              </w:rPr>
              <w:t>、服务要求</w:t>
            </w:r>
          </w:p>
          <w:p>
            <w:pPr>
              <w:pStyle w:val="null3"/>
              <w:jc w:val="both"/>
            </w:pPr>
            <w:r>
              <w:rPr>
                <w:rFonts w:ascii="仿宋_GB2312" w:hAnsi="仿宋_GB2312" w:cs="仿宋_GB2312" w:eastAsia="仿宋_GB2312"/>
              </w:rPr>
              <w:t>(1)项目实施过程中，投标人需成立专门的项目团队，包括项目经理、技术人员、策划人员等，确保项目的顺利推进。项目经理需具有丰富的项目管理经验，能够及时协调解决项目实施过程中出现的问题。</w:t>
            </w:r>
          </w:p>
          <w:p>
            <w:pPr>
              <w:pStyle w:val="null3"/>
              <w:jc w:val="both"/>
            </w:pPr>
            <w:r>
              <w:rPr>
                <w:rFonts w:ascii="仿宋_GB2312" w:hAnsi="仿宋_GB2312" w:cs="仿宋_GB2312" w:eastAsia="仿宋_GB2312"/>
              </w:rPr>
              <w:t>(2)提供完善的售后服务，包括项目验收后的技术支持、维护保养等，及时响应甲方的需求。</w:t>
            </w:r>
          </w:p>
          <w:p>
            <w:pPr>
              <w:pStyle w:val="null3"/>
              <w:jc w:val="both"/>
            </w:pPr>
            <w:r>
              <w:rPr>
                <w:rFonts w:ascii="仿宋_GB2312" w:hAnsi="仿宋_GB2312" w:cs="仿宋_GB2312" w:eastAsia="仿宋_GB2312"/>
              </w:rPr>
              <w:t>(3)严格遵守甲方的相关规定和要求，保守甲方的商业秘密和项目信息，不得向第三方泄露。</w:t>
            </w:r>
          </w:p>
          <w:p>
            <w:pPr>
              <w:pStyle w:val="null3"/>
              <w:jc w:val="both"/>
            </w:pPr>
            <w:r>
              <w:rPr>
                <w:rFonts w:ascii="仿宋_GB2312" w:hAnsi="仿宋_GB2312" w:cs="仿宋_GB2312" w:eastAsia="仿宋_GB2312"/>
              </w:rPr>
              <w:t>六</w:t>
            </w:r>
            <w:r>
              <w:rPr>
                <w:rFonts w:ascii="仿宋_GB2312" w:hAnsi="仿宋_GB2312" w:cs="仿宋_GB2312" w:eastAsia="仿宋_GB2312"/>
              </w:rPr>
              <w:t>、成果资料</w:t>
            </w:r>
          </w:p>
          <w:p>
            <w:pPr>
              <w:pStyle w:val="null3"/>
              <w:jc w:val="both"/>
            </w:pPr>
            <w:r>
              <w:rPr>
                <w:rFonts w:ascii="仿宋_GB2312" w:hAnsi="仿宋_GB2312" w:cs="仿宋_GB2312" w:eastAsia="仿宋_GB2312"/>
              </w:rPr>
              <w:t>(1)定制裸眼3D视频（45秒）素材2套（.mp4格式），其中1套用于屏幕播放，1套用于数据备份。</w:t>
            </w:r>
          </w:p>
          <w:p>
            <w:pPr>
              <w:pStyle w:val="null3"/>
              <w:jc w:val="both"/>
            </w:pPr>
            <w:r>
              <w:rPr>
                <w:rFonts w:ascii="仿宋_GB2312" w:hAnsi="仿宋_GB2312" w:cs="仿宋_GB2312" w:eastAsia="仿宋_GB2312"/>
              </w:rPr>
              <w:t>(2)提供渭南市VR虚拟体验“非遗演绎”场景2处、“非遗美食”场景2处（.apk格式文件）。</w:t>
            </w:r>
          </w:p>
          <w:p>
            <w:pPr>
              <w:pStyle w:val="null3"/>
              <w:jc w:val="both"/>
            </w:pPr>
            <w:r>
              <w:rPr>
                <w:rFonts w:ascii="仿宋_GB2312" w:hAnsi="仿宋_GB2312" w:cs="仿宋_GB2312" w:eastAsia="仿宋_GB2312"/>
              </w:rPr>
              <w:t>(3)提供3分钟主题宣传视频2套（.mp4格式文件），其中1套用于屏幕播放，1套用于数据备份。</w:t>
            </w:r>
          </w:p>
          <w:p>
            <w:pPr>
              <w:pStyle w:val="null3"/>
            </w:pPr>
            <w:r>
              <w:rPr>
                <w:rFonts w:ascii="仿宋_GB2312" w:hAnsi="仿宋_GB2312" w:cs="仿宋_GB2312" w:eastAsia="仿宋_GB2312"/>
                <w:sz w:val="21"/>
              </w:rPr>
              <w:t>提供项目实施方案、工作总结、资料移交清单等文档资料，电子版</w:t>
            </w:r>
            <w:r>
              <w:rPr>
                <w:rFonts w:ascii="仿宋_GB2312" w:hAnsi="仿宋_GB2312" w:cs="仿宋_GB2312" w:eastAsia="仿宋_GB2312"/>
                <w:sz w:val="21"/>
              </w:rPr>
              <w:t>1套，纸质版1套。</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 天内完成项目方案设计，设计方案经甲方确认后 180 天内，完成裸眼 3D视频制作、VR 虚拟体验、主题视频宣传工作。</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渭南市文化和旅游局指定地点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本合同签订后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内容制作完成经甲方组织验收合格后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根据招标文件、投标文件以及合同约定执行。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保证金退还: 1） 未中标单位：招标结束后，将根据所提供信息退还各投标单位保证金，无需亲自前来办理； 2） 成交单位：在采购合同签订并按规定交纳代理服务费后五个工作日内退还。（办理退保证金：需提供与甲方签订的合同原件的扫描件一份（pdf格式）发送至此邮箱（945990512@qq.cpm）,发送时务必备注项目名称+项目编号，发送成功后告知此联系方式：029-89286620-808）； 中标服务费查询请联系财务部：029-89286620转808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提供经审计的2023年度或2024年度的财务报告或提交投标文件截止时间前六个月内其银行出具的资信证明；其他组织和自然人提供银行出具的资信证明或财务报表；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提供投标文件递交截止日前一年内已缴存的至少一个月的纳税证明或完税证明。依法免税的投标人应提供相关文件证明；</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提供投标文件递交截止日前一年内已缴存的至少一个月的社会保障资金缴存单据或社保机构开具的社会保险参保缴费情况证明，依法不需要缴纳社会保障资金的单位应提供相关证明材料；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投标人参与；</w:t>
            </w:r>
          </w:p>
        </w:tc>
        <w:tc>
          <w:tcPr>
            <w:tcW w:type="dxa" w:w="1661"/>
          </w:tcPr>
          <w:p>
            <w:pPr>
              <w:pStyle w:val="null3"/>
            </w:pPr>
            <w:r>
              <w:rPr>
                <w:rFonts w:ascii="仿宋_GB2312" w:hAnsi="仿宋_GB2312" w:cs="仿宋_GB2312" w:eastAsia="仿宋_GB2312"/>
              </w:rPr>
              <w:t>3.书面声明.docx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具有履行合同所必须的设备和专业技术能力的承诺及说明；</w:t>
            </w:r>
          </w:p>
        </w:tc>
        <w:tc>
          <w:tcPr>
            <w:tcW w:type="dxa" w:w="1661"/>
          </w:tcPr>
          <w:p>
            <w:pPr>
              <w:pStyle w:val="null3"/>
            </w:pPr>
            <w:r>
              <w:rPr>
                <w:rFonts w:ascii="仿宋_GB2312" w:hAnsi="仿宋_GB2312" w:cs="仿宋_GB2312" w:eastAsia="仿宋_GB2312"/>
              </w:rPr>
              <w:t>2.具有履行合同所必须的设备和专业技术能力的说明及承诺.docx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投标人应授权合法的人员参加投标，其中法定代表人直接参加的，须出具法定代表人证明书；被授权代表参加的，须出具法定代表人授权书；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1.法定代表人证明书与法定代表人授权书.docx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4.供应商企业关系关联承诺书.docx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投标文件语言、有效期</w:t>
            </w:r>
          </w:p>
        </w:tc>
        <w:tc>
          <w:tcPr>
            <w:tcW w:type="dxa" w:w="3322"/>
          </w:tcPr>
          <w:p>
            <w:pPr>
              <w:pStyle w:val="null3"/>
            </w:pPr>
            <w:r>
              <w:rPr>
                <w:rFonts w:ascii="仿宋_GB2312" w:hAnsi="仿宋_GB2312" w:cs="仿宋_GB2312" w:eastAsia="仿宋_GB2312"/>
              </w:rPr>
              <w:t>投标文件语言、有效期符合招标文件的要求。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投标文件签署、盖章</w:t>
            </w:r>
          </w:p>
        </w:tc>
        <w:tc>
          <w:tcPr>
            <w:tcW w:type="dxa" w:w="3322"/>
          </w:tcPr>
          <w:p>
            <w:pPr>
              <w:pStyle w:val="null3"/>
            </w:pPr>
            <w:r>
              <w:rPr>
                <w:rFonts w:ascii="仿宋_GB2312" w:hAnsi="仿宋_GB2312" w:cs="仿宋_GB2312" w:eastAsia="仿宋_GB2312"/>
              </w:rPr>
              <w:t>均按招标文件要求签字、盖章（评分标准中要求提供的证明材料除外）。</w:t>
            </w:r>
          </w:p>
        </w:tc>
        <w:tc>
          <w:tcPr>
            <w:tcW w:type="dxa" w:w="1661"/>
          </w:tcPr>
          <w:p>
            <w:pPr>
              <w:pStyle w:val="null3"/>
            </w:pPr>
            <w:r>
              <w:rPr>
                <w:rFonts w:ascii="仿宋_GB2312" w:hAnsi="仿宋_GB2312" w:cs="仿宋_GB2312" w:eastAsia="仿宋_GB2312"/>
              </w:rPr>
              <w:t>开标一览表 服务内容及服务邀请应答表 投标函 商务应答表 标的清单 投标文件封面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投标函 1.法定代表人证明书与法定代表人授权书.docx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投标报价表</w:t>
            </w:r>
          </w:p>
        </w:tc>
        <w:tc>
          <w:tcPr>
            <w:tcW w:type="dxa" w:w="3322"/>
          </w:tcPr>
          <w:p>
            <w:pPr>
              <w:pStyle w:val="null3"/>
            </w:pPr>
            <w:r>
              <w:rPr>
                <w:rFonts w:ascii="仿宋_GB2312" w:hAnsi="仿宋_GB2312" w:cs="仿宋_GB2312" w:eastAsia="仿宋_GB2312"/>
              </w:rPr>
              <w:t>（1）投标报价表填写符合要求； （2）计量单位、报价货币均符合招标文件要求； （3）投标报价未超出采购预算或招标文件规定的最高限价。</w:t>
            </w:r>
          </w:p>
        </w:tc>
        <w:tc>
          <w:tcPr>
            <w:tcW w:type="dxa" w:w="1661"/>
          </w:tcPr>
          <w:p>
            <w:pPr>
              <w:pStyle w:val="null3"/>
            </w:pPr>
            <w:r>
              <w:rPr>
                <w:rFonts w:ascii="仿宋_GB2312" w:hAnsi="仿宋_GB2312" w:cs="仿宋_GB2312" w:eastAsia="仿宋_GB2312"/>
              </w:rPr>
              <w:t>开标一览表 标的清单 5.分项报价表.docx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完全理解并接受对合格投标人、合格的货物、工程或服务要求，根据投标人投标文件《服务内容及服务邀请应答表》，结合招标文件第三章“★”标识的实质性要求没有负偏离。</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无其他招标文件或法规明确规定投标无效的事项</w:t>
            </w:r>
          </w:p>
        </w:tc>
        <w:tc>
          <w:tcPr>
            <w:tcW w:type="dxa" w:w="3322"/>
          </w:tcPr>
          <w:p>
            <w:pPr>
              <w:pStyle w:val="null3"/>
            </w:pPr>
            <w:r>
              <w:rPr>
                <w:rFonts w:ascii="仿宋_GB2312" w:hAnsi="仿宋_GB2312" w:cs="仿宋_GB2312" w:eastAsia="仿宋_GB2312"/>
              </w:rPr>
              <w:t>没有不符合招标文件规定的被视为无效投标的其他条款。</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合同条款投标</w:t>
            </w:r>
          </w:p>
        </w:tc>
        <w:tc>
          <w:tcPr>
            <w:tcW w:type="dxa" w:w="3322"/>
          </w:tcPr>
          <w:p>
            <w:pPr>
              <w:pStyle w:val="null3"/>
            </w:pPr>
            <w:r>
              <w:rPr>
                <w:rFonts w:ascii="仿宋_GB2312" w:hAnsi="仿宋_GB2312" w:cs="仿宋_GB2312" w:eastAsia="仿宋_GB2312"/>
              </w:rPr>
              <w:t>有完全理解并接受招标文件合同基本条款要求的描述。</w:t>
            </w:r>
          </w:p>
        </w:tc>
        <w:tc>
          <w:tcPr>
            <w:tcW w:type="dxa" w:w="1661"/>
          </w:tcPr>
          <w:p>
            <w:pPr>
              <w:pStyle w:val="null3"/>
            </w:pPr>
            <w:r>
              <w:rPr>
                <w:rFonts w:ascii="仿宋_GB2312" w:hAnsi="仿宋_GB2312" w:cs="仿宋_GB2312" w:eastAsia="仿宋_GB2312"/>
              </w:rPr>
              <w:t>商务应答表</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对本项目的服务内容的理解准确，针对本项目需求提出的①具体可行的组织、②时间进度安排、③实施方案，总体服务方案合理，能充分反映出对采购内容的深入理解和达到需求目标的正确思路，技术方案层次清晰，内容详实，充分考虑采购人实际需求，三项内容完整，不存在瑕疵得24分；每缺一项扣8分，每存在一处瑕疵的扣1-7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沉浸式体验策划方案</w:t>
            </w:r>
          </w:p>
        </w:tc>
        <w:tc>
          <w:tcPr>
            <w:tcW w:type="dxa" w:w="2492"/>
          </w:tcPr>
          <w:p>
            <w:pPr>
              <w:pStyle w:val="null3"/>
            </w:pPr>
            <w:r>
              <w:rPr>
                <w:rFonts w:ascii="仿宋_GB2312" w:hAnsi="仿宋_GB2312" w:cs="仿宋_GB2312" w:eastAsia="仿宋_GB2312"/>
              </w:rPr>
              <w:t>针对本项目采购人需求及实际情况，拟定策划方案，①主题定位明确、②内容全面，③构思满足招标人实际需求。 三项内容完整，不存在瑕疵得15分；每缺一项扣5分，每存在一处瑕疵的扣1-3分，扣完为止。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供应商根据本项目建立项目高质量保障方案，有具体的①质量保障措施、②进度控制措施、③突发事件应急预案、④团队内部管控流程、⑤安全生产方案等。 五项内容完整，不存在瑕疵得15分；每缺一项扣3分，每存在一处瑕疵的扣0.5-2分，扣完为止。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团队人员配置</w:t>
            </w:r>
          </w:p>
        </w:tc>
        <w:tc>
          <w:tcPr>
            <w:tcW w:type="dxa" w:w="2492"/>
          </w:tcPr>
          <w:p>
            <w:pPr>
              <w:pStyle w:val="null3"/>
            </w:pPr>
            <w:r>
              <w:rPr>
                <w:rFonts w:ascii="仿宋_GB2312" w:hAnsi="仿宋_GB2312" w:cs="仿宋_GB2312" w:eastAsia="仿宋_GB2312"/>
              </w:rPr>
              <w:t>根据供应商针对本项目配备的团队人员情况进行评审： 团队组织架构、人员构成及分工合理，岗位设置明确，责任制度严谨、规范，工作人员经验丰富，计7分； 团队组织架构、人员构成及分工较为合理，岗位设置比较明确，责任制度较为严谨、规范，工作人员经验比较丰富，计5分； 团队组织架构、人员构成及分工不够合理，岗位设置不够明确，责任制度不够严谨、规范，工作人员经验较少，计1-4分； 未提供或其他不得分。 注：须提供项目团队人员名单（包括姓名、工作职责、主要工作业绩和经历等），否则不得分。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w:t>
            </w:r>
          </w:p>
        </w:tc>
        <w:tc>
          <w:tcPr>
            <w:tcW w:type="dxa" w:w="2492"/>
          </w:tcPr>
          <w:p>
            <w:pPr>
              <w:pStyle w:val="null3"/>
            </w:pPr>
            <w:r>
              <w:rPr>
                <w:rFonts w:ascii="仿宋_GB2312" w:hAnsi="仿宋_GB2312" w:cs="仿宋_GB2312" w:eastAsia="仿宋_GB2312"/>
              </w:rPr>
              <w:t>针对本项目提供数据采集设备，列有详细的设备清单（内容包括但不限于：生产厂家、规格型号、数量等内容）评审小组根据投标人所提供的设备数量、设备清单是否满足拍摄需求及设备相关证明材料是否齐全进行评审。 1.投标人所提供的设备数量、设备清单满足拍摄需求及相关设备证明材料齐全计8分； 2.投标人所提供的设备数量、设备清单基本满足拍摄需求及相关设备证明材料基本齐全计6分； 3.投标人所提供的设备数量、设备清单基本满足拍摄需求但所提供的相关设备证明材料不全计4分； 4.投标人所提供的设备数量、设备清单不能满足拍摄需求及相关设备证明材料不全计2分； 5.未提供或提供的资料与本项目不符计0分。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供应商提供2022年1月至今承接过的类似业绩，以合同复印件加盖公章为准，每提供一份计1分，满分6分，未提供得0分。 备注：须提供完整合同业绩并加盖供应商公章，否则不得分。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6.业绩.docx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投标人应提供完善售后服务方案，具体包括①服务计划、②服务响应时间、③服务方式、④服务保障团队、⑤培训计划等 五项内容完整，不存在瑕疵得5分；每缺一项扣1分，每存在一处瑕疵的扣0.1-0.9分，扣完为止。 （本项所指“瑕疵”是指内容不完整或缺少关键点；非专门针对本项目或不适用本项目特性、套用其他项目内容；存在逻辑漏洞、科学原理或常识错误；不利于本项目实施、现有技术条件下无法实现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详见附件：1.法定代表人证明书与法定代表人授权书.docx</w:t>
      </w:r>
    </w:p>
    <w:p>
      <w:pPr>
        <w:pStyle w:val="null3"/>
        <w:ind w:firstLine="960"/>
      </w:pPr>
      <w:r>
        <w:rPr>
          <w:rFonts w:ascii="仿宋_GB2312" w:hAnsi="仿宋_GB2312" w:cs="仿宋_GB2312" w:eastAsia="仿宋_GB2312"/>
        </w:rPr>
        <w:t>详见附件：2.具有履行合同所必须的设备和专业技术能力的说明及承诺.docx</w:t>
      </w:r>
    </w:p>
    <w:p>
      <w:pPr>
        <w:pStyle w:val="null3"/>
        <w:ind w:firstLine="960"/>
      </w:pPr>
      <w:r>
        <w:rPr>
          <w:rFonts w:ascii="仿宋_GB2312" w:hAnsi="仿宋_GB2312" w:cs="仿宋_GB2312" w:eastAsia="仿宋_GB2312"/>
        </w:rPr>
        <w:t>详见附件：3.书面声明.docx</w:t>
      </w:r>
    </w:p>
    <w:p>
      <w:pPr>
        <w:pStyle w:val="null3"/>
        <w:ind w:firstLine="960"/>
      </w:pPr>
      <w:r>
        <w:rPr>
          <w:rFonts w:ascii="仿宋_GB2312" w:hAnsi="仿宋_GB2312" w:cs="仿宋_GB2312" w:eastAsia="仿宋_GB2312"/>
        </w:rPr>
        <w:t>详见附件：4.供应商企业关系关联承诺书.docx</w:t>
      </w:r>
    </w:p>
    <w:p>
      <w:pPr>
        <w:pStyle w:val="null3"/>
        <w:ind w:firstLine="960"/>
      </w:pPr>
      <w:r>
        <w:rPr>
          <w:rFonts w:ascii="仿宋_GB2312" w:hAnsi="仿宋_GB2312" w:cs="仿宋_GB2312" w:eastAsia="仿宋_GB2312"/>
        </w:rPr>
        <w:t>详见附件：5.分项报价表.docx</w:t>
      </w:r>
    </w:p>
    <w:p>
      <w:pPr>
        <w:pStyle w:val="null3"/>
        <w:ind w:firstLine="960"/>
      </w:pPr>
      <w:r>
        <w:rPr>
          <w:rFonts w:ascii="仿宋_GB2312" w:hAnsi="仿宋_GB2312" w:cs="仿宋_GB2312" w:eastAsia="仿宋_GB2312"/>
        </w:rPr>
        <w:t>详见附件：6.业绩.docx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详见附件：商务及合同主要条款.docx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