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版本号：ZCSP-渭南市-2025-00830-HMGJ07620251118001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渭南市.农业技术推广中心2025年农用地膜回收利用项目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ZCSP-渭南市-2025-00830-HMGJ076</w:t>
      </w:r>
      <w:r>
        <w:br/>
      </w:r>
      <w:r>
        <w:br/>
      </w:r>
      <w:r>
        <w:br/>
      </w:r>
    </w:p>
    <w:p>
      <w:pPr>
        <w:pStyle w:val="null3"/>
        <w:jc w:val="center"/>
        <w:outlineLvl w:val="2"/>
      </w:pPr>
      <w:r>
        <w:rPr>
          <w:rFonts w:ascii="仿宋_GB2312" w:hAnsi="仿宋_GB2312" w:cs="仿宋_GB2312" w:eastAsia="仿宋_GB2312"/>
          <w:sz w:val="28"/>
          <w:b/>
        </w:rPr>
        <w:t>渭南市农业技术推广中心</w:t>
      </w:r>
    </w:p>
    <w:p>
      <w:pPr>
        <w:pStyle w:val="null3"/>
        <w:jc w:val="center"/>
        <w:outlineLvl w:val="2"/>
      </w:pPr>
      <w:r>
        <w:rPr>
          <w:rFonts w:ascii="仿宋_GB2312" w:hAnsi="仿宋_GB2312" w:cs="仿宋_GB2312" w:eastAsia="仿宋_GB2312"/>
          <w:sz w:val="28"/>
          <w:b/>
        </w:rPr>
        <w:t>鸿民国际工程（集团）有限公司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鸿民国际工程（集团）有限公司</w:t>
      </w:r>
      <w:r>
        <w:rPr>
          <w:rFonts w:ascii="仿宋_GB2312" w:hAnsi="仿宋_GB2312" w:cs="仿宋_GB2312" w:eastAsia="仿宋_GB2312"/>
        </w:rPr>
        <w:t>（以下简称“代理机构”）受</w:t>
      </w:r>
      <w:r>
        <w:rPr>
          <w:rFonts w:ascii="仿宋_GB2312" w:hAnsi="仿宋_GB2312" w:cs="仿宋_GB2312" w:eastAsia="仿宋_GB2312"/>
        </w:rPr>
        <w:t>渭南市农业技术推广中心</w:t>
      </w:r>
      <w:r>
        <w:rPr>
          <w:rFonts w:ascii="仿宋_GB2312" w:hAnsi="仿宋_GB2312" w:cs="仿宋_GB2312" w:eastAsia="仿宋_GB2312"/>
        </w:rPr>
        <w:t>委托，拟对</w:t>
      </w:r>
      <w:r>
        <w:rPr>
          <w:rFonts w:ascii="仿宋_GB2312" w:hAnsi="仿宋_GB2312" w:cs="仿宋_GB2312" w:eastAsia="仿宋_GB2312"/>
        </w:rPr>
        <w:t>渭南市.农业技术推广中心2025年农用地膜回收利用项目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ZCSP-渭南市-2025-00830-HMGJ076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渭南市.农业技术推广中心2025年农用地膜回收利用项目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以覆膜大县为重点，聚焦粮食主产区、旱作农业区及果业大县，在确保粮食安全和农产品优先供给的前提下，科学推广加厚高强度地膜。建立健全可核实、可追溯的地膜科学使用回收管理台账及废旧地膜回收利用或无害化处置体系，探索与可再生资源回收、垃圾收运、农资销售体系等相结合的回收路径，确保项目区地膜回收处置率达到85%以上。最终实现项目实施区科学推广加厚高强度地膜并及时有效处置，辐射带动区域内加厚高强度地膜应用及回收处置水平提升，显著降低耕地残膜危害。</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采购包1（2025年农用地膜回收利用项目）：属于专门面向中小企业采购。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代表身份：法定代表人参加投标的，须提供本人身份证复印件；法定代表人授权他人参加投标的，须提供法定代表人授权委托书、授权代表身份证、授权代表在本单位近3个月内任意一个月缴纳的养老保险证明。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2、营业执照：供应商提供有效存续的企业营业执照（含最新年度报告）</w:t>
      </w:r>
    </w:p>
    <w:p>
      <w:pPr>
        <w:pStyle w:val="null3"/>
      </w:pPr>
      <w:r>
        <w:rPr>
          <w:rFonts w:ascii="仿宋_GB2312" w:hAnsi="仿宋_GB2312" w:cs="仿宋_GB2312" w:eastAsia="仿宋_GB2312"/>
        </w:rPr>
        <w:t>3、财务状况报告：提供2024年度经审计的财务报告（包括“四表一注”，即资产负债表、利润表、现金流量表、所有者权益变动表及其附注，成立时间至提交投标文件截止时间不足一年的可提供成立后任意时段的资产负债表），或其投标文件递交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4、社保缴纳证明：提供2025年1月1日至投标文件递交截止之日任意一个月的社会保障资金缴存单据或社保机构开具的社会保险参保缴费情况证明。依法不需要缴纳社会保障资金的供应商应提供相关证明文件；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税收缴纳证明：提供2025年1月1日至投标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信用记录：供应商应在投标文件递交截止时间前，通过“信用中国”网站(www.creditchina.gov.cn)、中国政府采购网(www.ccgp.gov.cn)查询自身信用记录，并提供查询结果截图。同时提供《供应商信用记录书面声明函》（按格式填写，提供原件）。经采购代理机构查询，供应商不得被列入“信用中国”网站记录的“失信被执行人”、“重大税收违法失信主体”名单；不处于“中国政府采购网”记录的“政府采购严重违法失信行为记录名单”中的禁止参加政府采购活动期间。查询记录和声明函作为资格审核依据。</w:t>
      </w:r>
    </w:p>
    <w:p>
      <w:pPr>
        <w:pStyle w:val="null3"/>
      </w:pPr>
      <w:r>
        <w:rPr>
          <w:rFonts w:ascii="仿宋_GB2312" w:hAnsi="仿宋_GB2312" w:cs="仿宋_GB2312" w:eastAsia="仿宋_GB2312"/>
        </w:rPr>
        <w:t>7、控股管理关系：提供直接控股和管理关系清单。若与其他供应商存在单位负责人为同一人或者存在直接控股、管理关系的，则投标无效；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8、书面声明：提供书面声明，包括声明具有履行合同所必需的设备和专业技术能力；未为本项目提供整体设计、规范编制或者项目管理、监理、检测等服务；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9、本合同包不接受联合体投标、不允许分包：供应商提供《非联合体投标不分包声明》，视为独立投标、不分包。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渭南市临渭区东风街中段60号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0913-2338561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鸿民国际工程（集团）有限公司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渭南市临渭区西四路林业大厦四层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党文丽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13259083638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加厚高强度地膜</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开户名称：鸿民国际工程（集团）有限公司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银行账号：103311740136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人与采购代理机构约定，参照国家计委关于《招标代理服务收费管理暂行办法》（计价格〔2002〕1980号）、《国家发展改革委关于降低部分建设项目收费标准规范收费行为等有关问题的通知》（发改价格〔2011〕534号），以中标价为基数计算，按标准的100%收取。根据“财库[2018]2号-财政部关于印发《政府采购代理机构管理暂行办法》的通知”第十五条规定，双方约定代理服务费由中标供应商支付，领取中标通知书时一次性付清。开户名称：鸿民国际工程（集团）有限公司渭南分公司，开户银行：中国建设银行股份有限公司渭南朝阳大街支行，账号：61050164500800000631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渭南市农业技术推广中心</w:t>
      </w:r>
      <w:r>
        <w:rPr>
          <w:rFonts w:ascii="仿宋_GB2312" w:hAnsi="仿宋_GB2312" w:cs="仿宋_GB2312" w:eastAsia="仿宋_GB2312"/>
        </w:rPr>
        <w:t>和</w:t>
      </w:r>
      <w:r>
        <w:rPr>
          <w:rFonts w:ascii="仿宋_GB2312" w:hAnsi="仿宋_GB2312" w:cs="仿宋_GB2312" w:eastAsia="仿宋_GB2312"/>
        </w:rPr>
        <w:t>鸿民国际工程（集团）有限公司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渭南市农业技术推广中心</w:t>
      </w:r>
      <w:r>
        <w:rPr>
          <w:rFonts w:ascii="仿宋_GB2312" w:hAnsi="仿宋_GB2312" w:cs="仿宋_GB2312" w:eastAsia="仿宋_GB2312"/>
        </w:rPr>
        <w:t>负责解释。除上述招标文件内容，其他内容由</w:t>
      </w:r>
      <w:r>
        <w:rPr>
          <w:rFonts w:ascii="仿宋_GB2312" w:hAnsi="仿宋_GB2312" w:cs="仿宋_GB2312" w:eastAsia="仿宋_GB2312"/>
        </w:rPr>
        <w:t>鸿民国际工程（集团）有限公司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鸿民国际工程（集团）有限公司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鸿民国际工程（集团）有限公司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鸿民国际工程（集团）有限公司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鸿民国际工程（集团）有限公司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联系人：党文丽</w:t>
      </w:r>
    </w:p>
    <w:p>
      <w:pPr>
        <w:pStyle w:val="null3"/>
      </w:pPr>
      <w:r>
        <w:rPr>
          <w:rFonts w:ascii="仿宋_GB2312" w:hAnsi="仿宋_GB2312" w:cs="仿宋_GB2312" w:eastAsia="仿宋_GB2312"/>
        </w:rPr>
        <w:t>联系电话：13259083638</w:t>
      </w:r>
    </w:p>
    <w:p>
      <w:pPr>
        <w:pStyle w:val="null3"/>
      </w:pPr>
      <w:r>
        <w:rPr>
          <w:rFonts w:ascii="仿宋_GB2312" w:hAnsi="仿宋_GB2312" w:cs="仿宋_GB2312" w:eastAsia="仿宋_GB2312"/>
        </w:rPr>
        <w:t>地址：渭南市临渭区西四路林业大厦四层</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以覆膜大县为重点，聚焦粮食主产区、旱作农业区及果业大县，在确保粮食安全和农产品优先供给的前提下，科学推广加厚高强度地膜。建立健全可核实、可追溯的地膜科学使用回收管理台账及废旧地膜回收利用或无害化处置体系，探索与可再生资源回收、垃圾收运、农资销售体系等相结合的回收路径，确保项目区地膜回收处置率达到85%以上。最终实现项目实施区科学推广加厚高强度地膜并及时有效处置，辐射带动区域内加厚高强度地膜应用及回收处置水平提升，显著降低耕地残膜危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3,200,000.00</w:t>
      </w:r>
    </w:p>
    <w:p>
      <w:pPr>
        <w:pStyle w:val="null3"/>
      </w:pPr>
      <w:r>
        <w:rPr>
          <w:rFonts w:ascii="仿宋_GB2312" w:hAnsi="仿宋_GB2312" w:cs="仿宋_GB2312" w:eastAsia="仿宋_GB2312"/>
        </w:rPr>
        <w:t>采购包最高限价（元）: 3,200,000.00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2025年农用地膜回收利用项目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标的名称：2025年农用地膜回收利用项目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rPr>
              <w:t>（一）服务内容</w:t>
            </w:r>
          </w:p>
          <w:p>
            <w:pPr>
              <w:pStyle w:val="null3"/>
            </w:pPr>
            <w:r>
              <w:rPr>
                <w:rFonts w:ascii="仿宋_GB2312" w:hAnsi="仿宋_GB2312" w:cs="仿宋_GB2312" w:eastAsia="仿宋_GB2312"/>
              </w:rPr>
              <w:t>围绕降低农田残膜污染、提升地膜使用回收处置水平，在项目区开展以下工作：</w:t>
            </w:r>
          </w:p>
          <w:p>
            <w:pPr>
              <w:pStyle w:val="null3"/>
            </w:pPr>
            <w:r>
              <w:rPr>
                <w:rFonts w:ascii="仿宋_GB2312" w:hAnsi="仿宋_GB2312" w:cs="仿宋_GB2312" w:eastAsia="仿宋_GB2312"/>
              </w:rPr>
              <w:t>1.推广应用符合国家标准的加厚高强度地膜，建立地膜科学使用及回收示范区，确保项目区地膜回收处置率达到85%以上。</w:t>
            </w:r>
          </w:p>
          <w:p>
            <w:pPr>
              <w:pStyle w:val="null3"/>
            </w:pPr>
            <w:r>
              <w:rPr>
                <w:rFonts w:ascii="仿宋_GB2312" w:hAnsi="仿宋_GB2312" w:cs="仿宋_GB2312" w:eastAsia="仿宋_GB2312"/>
              </w:rPr>
              <w:t>2.构建“调研-推广-回收”全链条服务体系，摸清用膜主体需求，制定针对性地膜科学推广使用回收项目方案，培育专业化回收服务组织，完善回收运行机制。</w:t>
            </w:r>
          </w:p>
          <w:p>
            <w:pPr>
              <w:pStyle w:val="null3"/>
            </w:pPr>
            <w:r>
              <w:rPr>
                <w:rFonts w:ascii="仿宋_GB2312" w:hAnsi="仿宋_GB2312" w:cs="仿宋_GB2312" w:eastAsia="仿宋_GB2312"/>
              </w:rPr>
              <w:t>3.开展地膜残留监测工作，掌握覆膜区域地膜残留情况，为地膜污染防控提供支持。</w:t>
            </w:r>
          </w:p>
          <w:p>
            <w:pPr>
              <w:pStyle w:val="null3"/>
            </w:pPr>
            <w:r>
              <w:rPr>
                <w:rFonts w:ascii="仿宋_GB2312" w:hAnsi="仿宋_GB2312" w:cs="仿宋_GB2312" w:eastAsia="仿宋_GB2312"/>
              </w:rPr>
              <w:t>4.开展地膜科学使用、回收技术及相关政策法规宣传培训，提升用膜主体环保意识和操作能力，辐射带动区域整体地膜科学使用回收水平提升。</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02"/>
              <w:jc w:val="both"/>
            </w:pPr>
            <w:r>
              <w:rPr>
                <w:rFonts w:ascii="仿宋_GB2312" w:hAnsi="仿宋_GB2312" w:cs="仿宋_GB2312" w:eastAsia="仿宋_GB2312"/>
              </w:rPr>
              <w:t>（二）技术要求</w:t>
            </w:r>
          </w:p>
          <w:p>
            <w:pPr>
              <w:pStyle w:val="null3"/>
            </w:pPr>
            <w:r>
              <w:rPr>
                <w:rFonts w:ascii="仿宋_GB2312" w:hAnsi="仿宋_GB2312" w:cs="仿宋_GB2312" w:eastAsia="仿宋_GB2312"/>
              </w:rPr>
              <w:t>1.需求调研与方案制定</w:t>
            </w:r>
          </w:p>
          <w:p>
            <w:pPr>
              <w:pStyle w:val="null3"/>
            </w:pPr>
            <w:r>
              <w:rPr>
                <w:rFonts w:ascii="仿宋_GB2312" w:hAnsi="仿宋_GB2312" w:cs="仿宋_GB2312" w:eastAsia="仿宋_GB2312"/>
              </w:rPr>
              <w:t>（1）对推广区域种植制度、作物类型（重点为春玉米、甘薯、蔬菜、瓜果等主要农作物）及用膜习惯进行全面调研，明确用膜主体对地膜单卷重量、宽度、颜色等需求，形成县域地膜物化补助需求清单，经公示无异议后实施补助。</w:t>
            </w:r>
          </w:p>
          <w:p>
            <w:pPr>
              <w:pStyle w:val="null3"/>
            </w:pPr>
            <w:r>
              <w:rPr>
                <w:rFonts w:ascii="仿宋_GB2312" w:hAnsi="仿宋_GB2312" w:cs="仿宋_GB2312" w:eastAsia="仿宋_GB2312"/>
              </w:rPr>
              <w:t>（2）针对项目制定具体可行的项目方案，含实施方案（含进度计划、区域分工、技术路径）和售后服务方案，能提供地膜使用、回收技术咨询及现场指导服务，确保技术落地见效。</w:t>
            </w:r>
          </w:p>
          <w:p>
            <w:pPr>
              <w:pStyle w:val="null3"/>
            </w:pPr>
            <w:r>
              <w:rPr>
                <w:rFonts w:ascii="仿宋_GB2312" w:hAnsi="仿宋_GB2312" w:cs="仿宋_GB2312" w:eastAsia="仿宋_GB2312"/>
              </w:rPr>
              <w:t>2.推广规模与地膜参数</w:t>
            </w:r>
          </w:p>
          <w:p>
            <w:pPr>
              <w:pStyle w:val="null3"/>
            </w:pPr>
            <w:r>
              <w:rPr>
                <w:rFonts w:ascii="仿宋_GB2312" w:hAnsi="仿宋_GB2312" w:cs="仿宋_GB2312" w:eastAsia="仿宋_GB2312"/>
              </w:rPr>
              <w:t>（1）本项目加厚高强度地膜推广面积不少于11万亩，地膜总用量根据推广面积及亩均补助地膜量科学核算。</w:t>
            </w:r>
          </w:p>
          <w:p>
            <w:pPr>
              <w:pStyle w:val="null3"/>
            </w:pPr>
            <w:r>
              <w:rPr>
                <w:rFonts w:ascii="仿宋_GB2312" w:hAnsi="仿宋_GB2312" w:cs="仿宋_GB2312" w:eastAsia="仿宋_GB2312"/>
              </w:rPr>
              <w:t>（2）推广的加厚高强度地膜需满足以下参数：</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参数类别</w:t>
                  </w:r>
                </w:p>
              </w:tc>
              <w:tc>
                <w:tcPr>
                  <w:tcW w:type="dxa" w:w="1276"/>
                </w:tcPr>
                <w:p>
                  <w:pPr>
                    <w:pStyle w:val="null3"/>
                  </w:pPr>
                  <w:r>
                    <w:rPr>
                      <w:rFonts w:ascii="仿宋_GB2312" w:hAnsi="仿宋_GB2312" w:cs="仿宋_GB2312" w:eastAsia="仿宋_GB2312"/>
                    </w:rPr>
                    <w:t>具体要求</w:t>
                  </w:r>
                </w:p>
              </w:tc>
            </w:tr>
            <w:tr>
              <w:tc>
                <w:tcPr>
                  <w:tcW w:type="dxa" w:w="1276"/>
                </w:tcPr>
                <w:p>
                  <w:pPr>
                    <w:pStyle w:val="null3"/>
                  </w:pPr>
                  <w:r>
                    <w:rPr>
                      <w:rFonts w:ascii="仿宋_GB2312" w:hAnsi="仿宋_GB2312" w:cs="仿宋_GB2312" w:eastAsia="仿宋_GB2312"/>
                    </w:rPr>
                    <w:t>厚度</w:t>
                  </w:r>
                </w:p>
              </w:tc>
              <w:tc>
                <w:tcPr>
                  <w:tcW w:type="dxa" w:w="1276"/>
                </w:tcPr>
                <w:p>
                  <w:pPr>
                    <w:pStyle w:val="null3"/>
                  </w:pPr>
                  <w:r>
                    <w:rPr>
                      <w:rFonts w:ascii="仿宋_GB2312" w:hAnsi="仿宋_GB2312" w:cs="仿宋_GB2312" w:eastAsia="仿宋_GB2312"/>
                    </w:rPr>
                    <w:t>≥0.015毫米，厚度偏差符合GB 13735-2017标准要求</w:t>
                  </w:r>
                </w:p>
              </w:tc>
            </w:tr>
            <w:tr>
              <w:tc>
                <w:tcPr>
                  <w:tcW w:type="dxa" w:w="1276"/>
                </w:tcPr>
                <w:p>
                  <w:pPr>
                    <w:pStyle w:val="null3"/>
                  </w:pPr>
                  <w:r>
                    <w:rPr>
                      <w:rFonts w:ascii="仿宋_GB2312" w:hAnsi="仿宋_GB2312" w:cs="仿宋_GB2312" w:eastAsia="仿宋_GB2312"/>
                    </w:rPr>
                    <w:t>产品等级与耐候性</w:t>
                  </w:r>
                </w:p>
              </w:tc>
              <w:tc>
                <w:tcPr>
                  <w:tcW w:type="dxa" w:w="1276"/>
                </w:tcPr>
                <w:p>
                  <w:pPr>
                    <w:pStyle w:val="null3"/>
                  </w:pPr>
                  <w:r>
                    <w:rPr>
                      <w:rFonts w:ascii="仿宋_GB2312" w:hAnsi="仿宋_GB2312" w:cs="仿宋_GB2312" w:eastAsia="仿宋_GB2312"/>
                    </w:rPr>
                    <w:t>合格品，符合GB 13735-2017中I类耐老化地膜要求，耐候性能通过标准检测。</w:t>
                  </w:r>
                </w:p>
              </w:tc>
            </w:tr>
            <w:tr>
              <w:tc>
                <w:tcPr>
                  <w:tcW w:type="dxa" w:w="1276"/>
                </w:tcPr>
                <w:p>
                  <w:pPr>
                    <w:pStyle w:val="null3"/>
                  </w:pPr>
                  <w:r>
                    <w:rPr>
                      <w:rFonts w:ascii="仿宋_GB2312" w:hAnsi="仿宋_GB2312" w:cs="仿宋_GB2312" w:eastAsia="仿宋_GB2312"/>
                    </w:rPr>
                    <w:t>单卷规格</w:t>
                  </w:r>
                </w:p>
              </w:tc>
              <w:tc>
                <w:tcPr>
                  <w:tcW w:type="dxa" w:w="1276"/>
                </w:tcPr>
                <w:p>
                  <w:pPr>
                    <w:pStyle w:val="null3"/>
                  </w:pPr>
                  <w:r>
                    <w:rPr>
                      <w:rFonts w:ascii="仿宋_GB2312" w:hAnsi="仿宋_GB2312" w:cs="仿宋_GB2312" w:eastAsia="仿宋_GB2312"/>
                    </w:rPr>
                    <w:t>重量：5kg、10kg等（净质量偏差需符合国家标准）</w:t>
                  </w:r>
                </w:p>
                <w:p>
                  <w:pPr>
                    <w:pStyle w:val="null3"/>
                  </w:pPr>
                  <w:r>
                    <w:rPr>
                      <w:rFonts w:ascii="仿宋_GB2312" w:hAnsi="仿宋_GB2312" w:cs="仿宋_GB2312" w:eastAsia="仿宋_GB2312"/>
                    </w:rPr>
                    <w:t>宽度：800mm～1500mm（宽度偏差符合国家标准）</w:t>
                  </w:r>
                </w:p>
              </w:tc>
            </w:tr>
            <w:tr>
              <w:tc>
                <w:tcPr>
                  <w:tcW w:type="dxa" w:w="1276"/>
                </w:tcPr>
                <w:p>
                  <w:pPr>
                    <w:pStyle w:val="null3"/>
                  </w:pPr>
                  <w:r>
                    <w:rPr>
                      <w:rFonts w:ascii="仿宋_GB2312" w:hAnsi="仿宋_GB2312" w:cs="仿宋_GB2312" w:eastAsia="仿宋_GB2312"/>
                    </w:rPr>
                    <w:t>颜色</w:t>
                  </w:r>
                </w:p>
              </w:tc>
              <w:tc>
                <w:tcPr>
                  <w:tcW w:type="dxa" w:w="1276"/>
                </w:tcPr>
                <w:p>
                  <w:pPr>
                    <w:pStyle w:val="null3"/>
                  </w:pPr>
                  <w:r>
                    <w:rPr>
                      <w:rFonts w:ascii="仿宋_GB2312" w:hAnsi="仿宋_GB2312" w:cs="仿宋_GB2312" w:eastAsia="仿宋_GB2312"/>
                    </w:rPr>
                    <w:t>白色、黑色等（根据用膜主体需求确定）</w:t>
                  </w:r>
                </w:p>
              </w:tc>
            </w:tr>
            <w:tr>
              <w:tc>
                <w:tcPr>
                  <w:tcW w:type="dxa" w:w="1276"/>
                </w:tcPr>
                <w:p>
                  <w:pPr>
                    <w:pStyle w:val="null3"/>
                  </w:pPr>
                  <w:r>
                    <w:rPr>
                      <w:rFonts w:ascii="仿宋_GB2312" w:hAnsi="仿宋_GB2312" w:cs="仿宋_GB2312" w:eastAsia="仿宋_GB2312"/>
                    </w:rPr>
                    <w:t>外观与力学性能</w:t>
                  </w:r>
                </w:p>
              </w:tc>
              <w:tc>
                <w:tcPr>
                  <w:tcW w:type="dxa" w:w="1276"/>
                </w:tcPr>
                <w:p>
                  <w:pPr>
                    <w:pStyle w:val="null3"/>
                  </w:pPr>
                  <w:r>
                    <w:rPr>
                      <w:rFonts w:ascii="仿宋_GB2312" w:hAnsi="仿宋_GB2312" w:cs="仿宋_GB2312" w:eastAsia="仿宋_GB2312"/>
                    </w:rPr>
                    <w:t>无明显划痕、杂质、气泡，拉伸强度、断裂伸长率等力学性能指标符合GB 13735-2017要求</w:t>
                  </w:r>
                </w:p>
              </w:tc>
            </w:tr>
            <w:tr>
              <w:tc>
                <w:tcPr>
                  <w:tcW w:type="dxa" w:w="1276"/>
                </w:tcPr>
                <w:p>
                  <w:pPr>
                    <w:pStyle w:val="null3"/>
                  </w:pPr>
                  <w:r>
                    <w:rPr>
                      <w:rFonts w:ascii="仿宋_GB2312" w:hAnsi="仿宋_GB2312" w:cs="仿宋_GB2312" w:eastAsia="仿宋_GB2312"/>
                    </w:rPr>
                    <w:t>包装要求</w:t>
                  </w:r>
                </w:p>
              </w:tc>
              <w:tc>
                <w:tcPr>
                  <w:tcW w:type="dxa" w:w="1276"/>
                </w:tcPr>
                <w:p>
                  <w:pPr>
                    <w:pStyle w:val="null3"/>
                  </w:pPr>
                  <w:r>
                    <w:rPr>
                      <w:rFonts w:ascii="仿宋_GB2312" w:hAnsi="仿宋_GB2312" w:cs="仿宋_GB2312" w:eastAsia="仿宋_GB2312"/>
                    </w:rPr>
                    <w:t>内包装附产品合格证（含产品名称、类别、规格、净质量、批号、生产日期、生产厂家、标准号等信息）；</w:t>
                  </w:r>
                </w:p>
                <w:p>
                  <w:pPr>
                    <w:pStyle w:val="null3"/>
                  </w:pPr>
                  <w:r>
                    <w:rPr>
                      <w:rFonts w:ascii="仿宋_GB2312" w:hAnsi="仿宋_GB2312" w:cs="仿宋_GB2312" w:eastAsia="仿宋_GB2312"/>
                    </w:rPr>
                    <w:t>外包装显著位置标注“使用后请回收利用，减少环境污染”警示语</w:t>
                  </w:r>
                </w:p>
              </w:tc>
            </w:tr>
          </w:tbl>
          <w:p>
            <w:pPr>
              <w:pStyle w:val="null3"/>
            </w:pPr>
            <w:r>
              <w:rPr>
                <w:rFonts w:ascii="仿宋_GB2312" w:hAnsi="仿宋_GB2312" w:cs="仿宋_GB2312" w:eastAsia="仿宋_GB2312"/>
              </w:rPr>
              <w:t>3.资金与补助管理</w:t>
            </w:r>
          </w:p>
          <w:p>
            <w:pPr>
              <w:pStyle w:val="null3"/>
            </w:pPr>
            <w:r>
              <w:rPr>
                <w:rFonts w:ascii="仿宋_GB2312" w:hAnsi="仿宋_GB2312" w:cs="仿宋_GB2312" w:eastAsia="仿宋_GB2312"/>
              </w:rPr>
              <w:t>（1）项目采取“自筹+补助”相结合的方式，每亩补助约2公斤并配送到用膜主体，用膜主体需自筹补助外的加厚高强度地膜。</w:t>
            </w:r>
          </w:p>
          <w:p>
            <w:pPr>
              <w:pStyle w:val="null3"/>
            </w:pPr>
            <w:r>
              <w:rPr>
                <w:rFonts w:ascii="仿宋_GB2312" w:hAnsi="仿宋_GB2312" w:cs="仿宋_GB2312" w:eastAsia="仿宋_GB2312"/>
              </w:rPr>
              <w:t>（2）建立经村、镇、县三级审核的用膜主体摸底清册、补助清册，汇总形成县级确认单，确保补助对象真实、地膜补助合规，杜绝虚报冒领。</w:t>
            </w:r>
          </w:p>
          <w:p>
            <w:pPr>
              <w:pStyle w:val="null3"/>
            </w:pPr>
            <w:r>
              <w:rPr>
                <w:rFonts w:ascii="仿宋_GB2312" w:hAnsi="仿宋_GB2312" w:cs="仿宋_GB2312" w:eastAsia="仿宋_GB2312"/>
              </w:rPr>
              <w:t>4.宣传培训要求</w:t>
            </w:r>
          </w:p>
          <w:p>
            <w:pPr>
              <w:pStyle w:val="null3"/>
            </w:pPr>
            <w:r>
              <w:rPr>
                <w:rFonts w:ascii="仿宋_GB2312" w:hAnsi="仿宋_GB2312" w:cs="仿宋_GB2312" w:eastAsia="仿宋_GB2312"/>
              </w:rPr>
              <w:t>（1）开展地膜科学使用回收技术、政策法规培训会议不少于22场次，每场次培训人数不少于50人，服务期间发放技术手册、政策明白纸等宣传资料不少于20000张（册）。覆盖推广区域用膜主体、镇村农技人员及回收服务组织人员。</w:t>
            </w:r>
          </w:p>
          <w:p>
            <w:pPr>
              <w:pStyle w:val="null3"/>
            </w:pPr>
            <w:r>
              <w:rPr>
                <w:rFonts w:ascii="仿宋_GB2312" w:hAnsi="仿宋_GB2312" w:cs="仿宋_GB2312" w:eastAsia="仿宋_GB2312"/>
              </w:rPr>
              <w:t>（2）供应商需保留清晰的培训、发放记录（如签收清单、影像资料等）以备核查。</w:t>
            </w:r>
          </w:p>
          <w:p>
            <w:pPr>
              <w:pStyle w:val="null3"/>
            </w:pPr>
            <w:r>
              <w:rPr>
                <w:rFonts w:ascii="仿宋_GB2312" w:hAnsi="仿宋_GB2312" w:cs="仿宋_GB2312" w:eastAsia="仿宋_GB2312"/>
              </w:rPr>
              <w:t>5.回收处置与体系建设</w:t>
            </w:r>
          </w:p>
          <w:p>
            <w:pPr>
              <w:pStyle w:val="null3"/>
            </w:pPr>
            <w:r>
              <w:rPr>
                <w:rFonts w:ascii="仿宋_GB2312" w:hAnsi="仿宋_GB2312" w:cs="仿宋_GB2312" w:eastAsia="仿宋_GB2312"/>
              </w:rPr>
              <w:t>（1）引导用膜主体在地膜使用结束后及时离田，通过机械捡拾、人工收集等方式开展废旧地膜回收，项目实施区地膜离田处置率不低于85%。</w:t>
            </w:r>
          </w:p>
          <w:p>
            <w:pPr>
              <w:pStyle w:val="null3"/>
            </w:pPr>
            <w:r>
              <w:rPr>
                <w:rFonts w:ascii="仿宋_GB2312" w:hAnsi="仿宋_GB2312" w:cs="仿宋_GB2312" w:eastAsia="仿宋_GB2312"/>
              </w:rPr>
              <w:t>（2）因地制宜培育地方专业化回收服务组织或引入第三方机构，建立完整回收体系，完善运行网络和利益联结机制。项目实施区计划回收废旧地膜面积不小于2.2万亩（重量不少于113吨）。</w:t>
            </w:r>
          </w:p>
          <w:p>
            <w:pPr>
              <w:pStyle w:val="null3"/>
            </w:pPr>
            <w:r>
              <w:rPr>
                <w:rFonts w:ascii="仿宋_GB2312" w:hAnsi="仿宋_GB2312" w:cs="仿宋_GB2312" w:eastAsia="仿宋_GB2312"/>
              </w:rPr>
              <w:t>（3）回收方式包括：</w:t>
            </w:r>
          </w:p>
          <w:p>
            <w:pPr>
              <w:pStyle w:val="null3"/>
            </w:pPr>
            <w:r>
              <w:rPr>
                <w:rFonts w:ascii="仿宋_GB2312" w:hAnsi="仿宋_GB2312" w:cs="仿宋_GB2312" w:eastAsia="仿宋_GB2312"/>
              </w:rPr>
              <w:t>①以旧换新：用膜主体自愿参与，按5:1（废旧地膜（去杂）：加厚高强度地膜）比例置换新膜。</w:t>
            </w:r>
          </w:p>
          <w:p>
            <w:pPr>
              <w:pStyle w:val="null3"/>
            </w:pPr>
            <w:r>
              <w:rPr>
                <w:rFonts w:ascii="仿宋_GB2312" w:hAnsi="仿宋_GB2312" w:cs="仿宋_GB2312" w:eastAsia="仿宋_GB2312"/>
              </w:rPr>
              <w:t>②直接收购：用膜主体不愿置换的，按1.5元/公斤标准（现金或等价农资产品等）进行兑换。</w:t>
            </w:r>
          </w:p>
          <w:p>
            <w:pPr>
              <w:pStyle w:val="null3"/>
            </w:pPr>
            <w:r>
              <w:rPr>
                <w:rFonts w:ascii="仿宋_GB2312" w:hAnsi="仿宋_GB2312" w:cs="仿宋_GB2312" w:eastAsia="仿宋_GB2312"/>
              </w:rPr>
              <w:t>③建立回收台账，包括“以旧换新”“直接补助”“委托置换”清册及回收清册，经用膜主体确认、村镇审核公示及县农技中心确认后存档，确保回收过程可追溯。</w:t>
            </w:r>
          </w:p>
          <w:p>
            <w:pPr>
              <w:pStyle w:val="null3"/>
            </w:pPr>
            <w:r>
              <w:rPr>
                <w:rFonts w:ascii="仿宋_GB2312" w:hAnsi="仿宋_GB2312" w:cs="仿宋_GB2312" w:eastAsia="仿宋_GB2312"/>
              </w:rPr>
              <w:t>（4）废旧地膜处置。回收的废旧地膜需委托有资质的回收企业进行资源化再利用或进行无害化处理，提供交售凭证、处置等相应材料。</w:t>
            </w:r>
          </w:p>
          <w:p>
            <w:pPr>
              <w:pStyle w:val="null3"/>
            </w:pPr>
            <w:r>
              <w:rPr>
                <w:rFonts w:ascii="仿宋_GB2312" w:hAnsi="仿宋_GB2312" w:cs="仿宋_GB2312" w:eastAsia="仿宋_GB2312"/>
              </w:rPr>
              <w:t>6.示范区建设</w:t>
            </w:r>
          </w:p>
          <w:p>
            <w:pPr>
              <w:pStyle w:val="null3"/>
            </w:pPr>
            <w:r>
              <w:rPr>
                <w:rFonts w:ascii="仿宋_GB2312" w:hAnsi="仿宋_GB2312" w:cs="仿宋_GB2312" w:eastAsia="仿宋_GB2312"/>
              </w:rPr>
              <w:t>（1）在项目实施区每县（市、区）建立1-2个地膜科学使用及废旧地膜回收处置示范区，集中展示加厚高强度地膜应用（如覆盖稳定性、作物增产情况）及回收效果。</w:t>
            </w:r>
          </w:p>
          <w:p>
            <w:pPr>
              <w:pStyle w:val="null3"/>
            </w:pPr>
            <w:r>
              <w:rPr>
                <w:rFonts w:ascii="仿宋_GB2312" w:hAnsi="仿宋_GB2312" w:cs="仿宋_GB2312" w:eastAsia="仿宋_GB2312"/>
              </w:rPr>
              <w:t>（2）示范区需设置标识牌（注明项目名称、实施单位、技术标准、预期目标），组织用膜主体、农技人员现场观摩，发挥示范带动作用。</w:t>
            </w:r>
          </w:p>
          <w:p>
            <w:pPr>
              <w:pStyle w:val="null3"/>
            </w:pPr>
            <w:r>
              <w:rPr>
                <w:rFonts w:ascii="仿宋_GB2312" w:hAnsi="仿宋_GB2312" w:cs="仿宋_GB2312" w:eastAsia="仿宋_GB2312"/>
              </w:rPr>
              <w:t>7.残膜监测</w:t>
            </w:r>
          </w:p>
          <w:p>
            <w:pPr>
              <w:pStyle w:val="null3"/>
            </w:pPr>
            <w:r>
              <w:rPr>
                <w:rFonts w:ascii="仿宋_GB2312" w:hAnsi="仿宋_GB2312" w:cs="仿宋_GB2312" w:eastAsia="仿宋_GB2312"/>
              </w:rPr>
              <w:t>在项目实施区设置6个地膜残留监测点，监测指标主要为田块地膜覆盖年限、使用量、回收量、回收方式、残留量等。点位布设与监测方法参考《陕西省农田地膜残留监测技术要求》执行，形成农田地膜监测资料。</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02"/>
              <w:jc w:val="both"/>
            </w:pPr>
            <w:r>
              <w:rPr>
                <w:rFonts w:ascii="仿宋_GB2312" w:hAnsi="仿宋_GB2312" w:cs="仿宋_GB2312" w:eastAsia="仿宋_GB2312"/>
              </w:rPr>
              <w:t>（三）服务要求</w:t>
            </w:r>
          </w:p>
          <w:p>
            <w:pPr>
              <w:pStyle w:val="null3"/>
            </w:pPr>
            <w:r>
              <w:rPr>
                <w:rFonts w:ascii="仿宋_GB2312" w:hAnsi="仿宋_GB2312" w:cs="仿宋_GB2312" w:eastAsia="仿宋_GB2312"/>
              </w:rPr>
              <w:t>1.供应商需具备较强的作业组织能力，建立健全项目管理制度（含人员管理、质量管控、安全保障等），确保服务规范有序。</w:t>
            </w:r>
          </w:p>
          <w:p>
            <w:pPr>
              <w:pStyle w:val="null3"/>
            </w:pPr>
            <w:r>
              <w:rPr>
                <w:rFonts w:ascii="仿宋_GB2312" w:hAnsi="仿宋_GB2312" w:cs="仿宋_GB2312" w:eastAsia="仿宋_GB2312"/>
              </w:rPr>
              <w:t>2.针对本项目特点制定科学项目方案，含技术（含地膜质量检测、回收技术指导、示范区运营等内容）和工作（含进度管控、应急处理等）等要求，并报采购人备案。</w:t>
            </w:r>
          </w:p>
          <w:p>
            <w:pPr>
              <w:pStyle w:val="null3"/>
            </w:pPr>
            <w:r>
              <w:rPr>
                <w:rFonts w:ascii="仿宋_GB2312" w:hAnsi="仿宋_GB2312" w:cs="仿宋_GB2312" w:eastAsia="仿宋_GB2312"/>
              </w:rPr>
              <w:t>3.所供地膜需符合GB13735-2017标准，提供生产厂家出具的产品质量检验报告和第三方机构抽样检验报告，确保安全环保、符合农业生产需求。</w:t>
            </w:r>
          </w:p>
          <w:p>
            <w:pPr>
              <w:pStyle w:val="null3"/>
            </w:pPr>
            <w:r>
              <w:rPr>
                <w:rFonts w:ascii="仿宋_GB2312" w:hAnsi="仿宋_GB2312" w:cs="仿宋_GB2312" w:eastAsia="仿宋_GB2312"/>
              </w:rPr>
              <w:t>4.回收的废旧地膜需进行无害化处置。</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02"/>
              <w:jc w:val="both"/>
            </w:pPr>
            <w:r>
              <w:rPr>
                <w:rFonts w:ascii="仿宋_GB2312" w:hAnsi="仿宋_GB2312" w:cs="仿宋_GB2312" w:eastAsia="仿宋_GB2312"/>
              </w:rPr>
              <w:t>（四）服务地点及面积</w:t>
            </w:r>
          </w:p>
          <w:p>
            <w:pPr>
              <w:pStyle w:val="null3"/>
            </w:pPr>
            <w:r>
              <w:rPr>
                <w:rFonts w:ascii="仿宋_GB2312" w:hAnsi="仿宋_GB2312" w:cs="仿宋_GB2312" w:eastAsia="仿宋_GB2312"/>
              </w:rPr>
              <w:t>1.服务地点：渭南市。</w:t>
            </w:r>
          </w:p>
          <w:p>
            <w:pPr>
              <w:pStyle w:val="null3"/>
            </w:pPr>
            <w:r>
              <w:rPr>
                <w:rFonts w:ascii="仿宋_GB2312" w:hAnsi="仿宋_GB2312" w:cs="仿宋_GB2312" w:eastAsia="仿宋_GB2312"/>
              </w:rPr>
              <w:t>2.服务面积：加厚高强度地膜推广面积不少于11万亩，废旧地膜回收面积不少于2.2万亩（重量不少于113吨）。项目区地膜回收处置率达到85%以上。</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1.中标后，供应商需派驻1名项目经理、1名技术负责人、1名资料管理员，在工作方案中明确人员分工，人员需保持稳定，未经采购人同意不得擅自更换。 2.项目经理、技术负责人负责统筹作业进度、管控服务质量、协调各方关系，按时参加采购人组织的会议及培训活动；资料管理员负责建立项目档案，收集整理摸底清册、补助清册、回收台账、检测报告等过程性资料，确保资料完整可追溯。</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见3.2.2服务要求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（一）计划与协议提交 中标后15个工作日内，供应商需向采购人提交项目实施方案，包含但不仅限于作业计划（含月度进度安排、区域任务分解）和安全责任协议（明确安全管理责任、应急处置措施）等，经采购人审核通过后方可实施。 （二）作业规范与质量管控 1.作业前需筹备合格的地膜、回收设备、培训材料等物资，按技术规范开展地膜配送、技术指导、回收作业，确保每环节符合国家标准及项目要求。 2.对地膜质量进行严格把控，每批次地膜到货后需进行抽样检查（检查厚度、外观、合格证等），不合格产品一律退换；废旧地膜回收后需妥善储存，避免二次污染，处置去向需明确（如交由有资质的企业再利用），并提供处置证明资料。 （三）应急与承诺 1.制定突发事件应急预案（如地膜供应短缺、回收设备故障、自然灾害影响等），明确应急处置流程与责任人，确保问题及时解决，不影响项目进度。 2.作出书面承诺：确保地膜质量符合标准、回收处置率达标、资金使用合规、资料真实完整。若未达到承诺要求，愿意按照本章3.3.3（二）“问题处理”的约定及《中华人民共和国民法典》等相关法律规定承担相应的违约责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自合同签订之日起至2026年3月10日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（一）质量标准 所有服务内容需达到国家相关标准、行业规范及本项目要求，验收合格标准如下： 1.地膜推广：推广面积≥11万亩，地膜质量符合GB13735-2017标准，补助清册真实合规，无虚报冒领； 2.回收处置：回收面积≥2.2万亩（重量≥113吨），回收处置率≥85%，处置去向明确且有证明资料； 3.宣传培训：不少于22场次，每场次培训人数不少于50人，宣传资料发放≥20000张（册）。供应商需保留清晰的培训、发放记录（如签收清单、影像资料等）以备核查； 4.示范区建设：每县建立1-2个示范区，标识牌规范，示范效果显著； 5.残膜监测：设置6个地膜残留监测点，形成监测表； 6.资料完整性：项目方案、摸底清册、补助清册、回收台账、监测表、检测报告、总结报告及过程材料等资料完整、真实、可追溯。 （二）问题处理 验收中发现未作业、漏作业或作业效果未达标的，供应商需在15个工作日内完成整改，整改后仍不合格的，采购人有权扣减相应合同价款，造成损失的，供应商需承担赔偿责任。 （三）验收程序 1.过程检查：采购人有权对项目推广、回收、培训等各环节进行不定期检查，供应商需予以配合。 2.中期评估：在项目执行中期（具体时间由采购人通知），供应商提交中期执行报告，采购人可组织相关方进行评估。 3.竣工验收：项目服务期限届满后，供应商按本文件要求提交完整验收申请及全套资料。由采购人负责组织成立验收小组进行最终验收，验收小组可邀请相关领域专家或部门代表参加。 （四）绩效衔接 验收结果将与市级绩效评价挂钩，若因供应商原因导致项目绩效不达标，采购人有权暂停付款，并要求供应商整改，整改仍不达标将按合同约定追究责任。</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供应商将地膜送达指定地点，补助给用膜主体，指导开展覆膜工作及相应的技术服务结束</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供应商完成合同内约定的回收服务作业内容，经审验合格后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项目结束并审验合格后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总价最高限价为人民币大写：叁佰贰拾万元整，小写：¥3200000.00元（不可竞争费用）；（2）单价最高限价：加厚高强度地膜15.00元/kg，总价320万元。（3）单价报价不可大于单价限价，否则按无效投标处理；（4）本项目总价为不可竞争费用，不可变更，否则按无效投标处理；总价费用涵盖完成本项目所有服务内容的全部支出，包括但不限于地膜采购费、运输配送费、技术培训费、回收作业费、示范区建设费、第三方检测费、管理费、税金、利润，以及招标文件明示或暗示的所有风险（如地膜价格波动、回收成本增加等）费用。服务期内采购人不再追加任何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1.供应商需在项目电子化交易系统中按要求上传相应资格证明文件并进行电子签章；2.供应商需在项目电子化交易系统中按要求填写《响应函》完成承诺并进行电子签章。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1.供应商需在项目电子化交易系统中按要求上传相应资格证明文件并进行电子签章；2.供应商需在项目电子化交易系统中按要求填写《响应函》完成承诺并进行电子签章。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1.供应商需在项目电子化交易系统中按要求上传相应资格证明文件并进行电子签章；2.供应商需在项目电子化交易系统中按要求填写《响应函》完成承诺并进行电子签章。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供应商代表身份</w:t>
            </w:r>
          </w:p>
        </w:tc>
        <w:tc>
          <w:tcPr>
            <w:tcW w:type="dxa" w:w="3322"/>
          </w:tcPr>
          <w:p>
            <w:pPr>
              <w:pStyle w:val="null3"/>
            </w:pPr>
            <w:r>
              <w:rPr>
                <w:rFonts w:ascii="仿宋_GB2312" w:hAnsi="仿宋_GB2312" w:cs="仿宋_GB2312" w:eastAsia="仿宋_GB2312"/>
              </w:rPr>
              <w:t>法定代表人参加投标的，须提供本人身份证复印件；法定代表人授权他人参加投标的，须提供法定代表人授权委托书、授权代表身份证、授权代表在本单位近3个月内任意一个月缴纳的养老保险证明。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供应商提供有效存续的企业营业执照（含最新年度报告）</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投标文件递交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提供2025年1月1日至投标文件递交截止之日任意一个月的社会保障资金缴存单据或社保机构开具的社会保险参保缴费情况证明。依法不需要缴纳社会保障资金的供应商应提供相关证明文件；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投标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应在投标文件递交截止时间前，通过“信用中国”网站(www.creditchina.gov.cn)、中国政府采购网(www.ccgp.gov.cn)查询自身信用记录，并提供查询结果截图。同时提供《供应商信用记录书面声明函》（按格式填写，提供原件）。经采购代理机构查询，供应商不得被列入“信用中国”网站记录的“失信被执行人”、“重大税收违法失信主体”名单；不处于“中国政府采购网”记录的“政府采购严重违法失信行为记录名单”中的禁止参加政府采购活动期间。查询记录和声明函作为资格审核依据。</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本合同包不接受联合体投标、不允许分包</w:t>
            </w:r>
          </w:p>
        </w:tc>
        <w:tc>
          <w:tcPr>
            <w:tcW w:type="dxa" w:w="3322"/>
          </w:tcPr>
          <w:p>
            <w:pPr>
              <w:pStyle w:val="null3"/>
            </w:pPr>
            <w:r>
              <w:rPr>
                <w:rFonts w:ascii="仿宋_GB2312" w:hAnsi="仿宋_GB2312" w:cs="仿宋_GB2312" w:eastAsia="仿宋_GB2312"/>
              </w:rPr>
              <w:t>供应商提供《非联合体投标不分包声明》，视为独立投标、不分包。</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参与的供应商提供了企业声明函原件，本项目采购标的对应的中小企业划分标准所属行业为农、林、牧、渔业。营业收入20000万元以下的为中小微型企业。其中，营业收入500万元及以上的为中型企业，营业收入50万元及以上的为小型企业，营业收入50万元以下的为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分项报价明细表.docx 标的清单 开标一览表（补充）.docx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w:t>
            </w:r>
          </w:p>
        </w:tc>
        <w:tc>
          <w:tcPr>
            <w:tcW w:type="dxa" w:w="1661"/>
          </w:tcPr>
          <w:p>
            <w:pPr>
              <w:pStyle w:val="null3"/>
            </w:pPr>
            <w:r>
              <w:rPr>
                <w:rFonts w:ascii="仿宋_GB2312" w:hAnsi="仿宋_GB2312" w:cs="仿宋_GB2312" w:eastAsia="仿宋_GB2312"/>
              </w:rPr>
              <w:t>开标一览表 1.公司概况及业绩.docx 服务内容及服务邀请应答表 中小企业声明函 商务应答表 分项报价明细表.docx 承诺函.docx 资格证明文件.docx 开标一览表（补充）.docx 投标保证金凭证.docx 投标函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（1）投标报价符合唯一性要求；（2）开标一览表填写符合要求；（3）计量单位、报价货币均符合招标文件要求；（4）未超出采购预算或招标文件规定的最高限价。</w:t>
            </w:r>
          </w:p>
        </w:tc>
        <w:tc>
          <w:tcPr>
            <w:tcW w:type="dxa" w:w="1661"/>
          </w:tcPr>
          <w:p>
            <w:pPr>
              <w:pStyle w:val="null3"/>
            </w:pPr>
            <w:r>
              <w:rPr>
                <w:rFonts w:ascii="仿宋_GB2312" w:hAnsi="仿宋_GB2312" w:cs="仿宋_GB2312" w:eastAsia="仿宋_GB2312"/>
              </w:rPr>
              <w:t>开标一览表 分项报价明细表.docx 标的清单 开标一览表（补充）.docx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投标保证金凭证.docx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无其他招标文件或法规明确规定响应无效的事项</w:t>
            </w:r>
          </w:p>
        </w:tc>
        <w:tc>
          <w:tcPr>
            <w:tcW w:type="dxa" w:w="1661"/>
          </w:tcPr>
          <w:p>
            <w:pPr>
              <w:pStyle w:val="null3"/>
            </w:pPr>
            <w:r>
              <w:rPr>
                <w:rFonts w:ascii="仿宋_GB2312" w:hAnsi="仿宋_GB2312" w:cs="仿宋_GB2312" w:eastAsia="仿宋_GB2312"/>
              </w:rPr>
              <w:t>开标一览表 服务内容及服务邀请应答表 投标函 中小企业声明函 商务应答表 分项报价明细表.docx 标的清单 投标文件封面 承诺函.docx 资格证明文件.docx 开标一览表（补充）.docx 投标保证金凭证.docx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投标人实力与业绩</w:t>
            </w:r>
          </w:p>
        </w:tc>
        <w:tc>
          <w:tcPr>
            <w:tcW w:type="dxa" w:w="2492"/>
          </w:tcPr>
          <w:p>
            <w:pPr>
              <w:pStyle w:val="null3"/>
            </w:pPr>
            <w:r>
              <w:rPr>
                <w:rFonts w:ascii="仿宋_GB2312" w:hAnsi="仿宋_GB2312" w:cs="仿宋_GB2312" w:eastAsia="仿宋_GB2312"/>
              </w:rPr>
              <w:t>1.评审内容 包含①类似项目业绩证明、②供货或回收能力证明，共2个核心模块。 2.评审标准 ①类似项目业绩（6分）：2022年1月1日至投标截止之日，每提供1项有效的类似项目业绩得2分。需提供合同关键页（含首页、内容页、签字盖章页）。本项满分6分，超过3项按6分计。 ②供货或回收能力证明（2分）：提供与地膜生产厂家的合作协议或自有回收队伍/网络的证明文件，得2分；未提供不得分。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1.公司概况及业绩.docx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1.评审内容 方案需包含①目标理解与需求分析、②任务分解与进度计划、③技术路径与方法，共3个核心模块。 2.评审标准 ①基础分值：每个核心模块内容无缺陷得4分，3个模块满分12分。 ②缺陷扣分：每个模块每存在1处缺陷，扣0.8分；单个模块缺陷扣分最多扣完该模块分值4分，整体扣完12分为止。 ③缺陷定义：符合以下任意一种情形即判定为缺陷： a.内容不完整。b.描述过于简单。 c.非专门针对本项目。 d.存在逻辑漏洞。e.不利于目标实现。</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2.项目实施方案.docx</w:t>
            </w:r>
          </w:p>
        </w:tc>
      </w:tr>
      <w:tr>
        <w:tc>
          <w:tcPr>
            <w:tcW w:type="dxa" w:w="831"/>
            <w:vMerge/>
          </w:tcPr>
          <w:p/>
        </w:tc>
        <w:tc>
          <w:tcPr>
            <w:tcW w:type="dxa" w:w="1661"/>
          </w:tcPr>
          <w:p>
            <w:pPr>
              <w:pStyle w:val="null3"/>
            </w:pPr>
            <w:r>
              <w:rPr>
                <w:rFonts w:ascii="仿宋_GB2312" w:hAnsi="仿宋_GB2312" w:cs="仿宋_GB2312" w:eastAsia="仿宋_GB2312"/>
              </w:rPr>
              <w:t>供货与配送保障方案</w:t>
            </w:r>
          </w:p>
        </w:tc>
        <w:tc>
          <w:tcPr>
            <w:tcW w:type="dxa" w:w="2492"/>
          </w:tcPr>
          <w:p>
            <w:pPr>
              <w:pStyle w:val="null3"/>
            </w:pPr>
            <w:r>
              <w:rPr>
                <w:rFonts w:ascii="仿宋_GB2312" w:hAnsi="仿宋_GB2312" w:cs="仿宋_GB2312" w:eastAsia="仿宋_GB2312"/>
              </w:rPr>
              <w:t>1.评审内容 方案需包含①生产与备货计划、②物流与配送方案、③应急保障措施，共3个核心模块。 2.评审标准 ①基础分值：每个核心模块内容无缺陷得3分，3个模块满分9分。 ②缺陷扣分：每个模块每存在1处缺陷，扣0.6分；单个模块缺陷扣分最多扣完该模块分值3分，整体扣完9分为止。 ③缺陷定义：符合以下任意一种情形即判定为缺陷： a.内容不完整。b.描述过于简单。 c.非专门针对本项目。 d.存在逻辑漏洞。e.不利于目标实现。</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3.供货与配送保障方案.docx</w:t>
            </w:r>
          </w:p>
        </w:tc>
      </w:tr>
      <w:tr>
        <w:tc>
          <w:tcPr>
            <w:tcW w:type="dxa" w:w="831"/>
            <w:vMerge/>
          </w:tcPr>
          <w:p/>
        </w:tc>
        <w:tc>
          <w:tcPr>
            <w:tcW w:type="dxa" w:w="1661"/>
          </w:tcPr>
          <w:p>
            <w:pPr>
              <w:pStyle w:val="null3"/>
            </w:pPr>
            <w:r>
              <w:rPr>
                <w:rFonts w:ascii="仿宋_GB2312" w:hAnsi="仿宋_GB2312" w:cs="仿宋_GB2312" w:eastAsia="仿宋_GB2312"/>
              </w:rPr>
              <w:t>回收处置体系建设与运营方案</w:t>
            </w:r>
          </w:p>
        </w:tc>
        <w:tc>
          <w:tcPr>
            <w:tcW w:type="dxa" w:w="2492"/>
          </w:tcPr>
          <w:p>
            <w:pPr>
              <w:pStyle w:val="null3"/>
            </w:pPr>
            <w:r>
              <w:rPr>
                <w:rFonts w:ascii="仿宋_GB2312" w:hAnsi="仿宋_GB2312" w:cs="仿宋_GB2312" w:eastAsia="仿宋_GB2312"/>
              </w:rPr>
              <w:t>1.评审内容 方案需包含①回收网络构建、②回收运营机制、③回收物处置方案，共3个核心模块。 2.评审标准 ①基础分值：每个核心模块内容无缺陷得4分，3个模块满分12分。 ②缺陷扣分：每个模块每存在1处缺陷，扣1分；单个模块缺陷扣分最多扣完该模块分值4分，整体扣完12分为止。 ③缺陷定义：符合以下任意一种情形即判定为缺陷： a.内容不完整。b.描述过于简单。 c.不适用本项目。d.存在逻辑漏洞。</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4.回收处置体系建设与运营方案.docx</w:t>
            </w:r>
          </w:p>
        </w:tc>
      </w:tr>
      <w:tr>
        <w:tc>
          <w:tcPr>
            <w:tcW w:type="dxa" w:w="831"/>
            <w:vMerge/>
          </w:tcPr>
          <w:p/>
        </w:tc>
        <w:tc>
          <w:tcPr>
            <w:tcW w:type="dxa" w:w="1661"/>
          </w:tcPr>
          <w:p>
            <w:pPr>
              <w:pStyle w:val="null3"/>
            </w:pPr>
            <w:r>
              <w:rPr>
                <w:rFonts w:ascii="仿宋_GB2312" w:hAnsi="仿宋_GB2312" w:cs="仿宋_GB2312" w:eastAsia="仿宋_GB2312"/>
              </w:rPr>
              <w:t>宣传培训与示范区建设方案</w:t>
            </w:r>
          </w:p>
        </w:tc>
        <w:tc>
          <w:tcPr>
            <w:tcW w:type="dxa" w:w="2492"/>
          </w:tcPr>
          <w:p>
            <w:pPr>
              <w:pStyle w:val="null3"/>
            </w:pPr>
            <w:r>
              <w:rPr>
                <w:rFonts w:ascii="仿宋_GB2312" w:hAnsi="仿宋_GB2312" w:cs="仿宋_GB2312" w:eastAsia="仿宋_GB2312"/>
              </w:rPr>
              <w:t>1.评审内容 方案需包含①宣传培训计划、②示范区建设与运营方案，共2个核心模块。 2.评审标准 ①基础分值：每个核心模块内容无缺陷得4分，2个模块满分8分。 ②缺陷扣分：每个模块每存在1处缺陷，扣0.8分；单个模块缺陷扣分最多扣完该模块分值4分，整体扣完8分为止。 ③缺陷定义：符合以下任意一种情形即判定为缺陷： a.内容不完整。b.缺少关键证明。 c.描述模糊。d.套用其他项目内容。 e.存在不可能情形。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5.宣传培训与示范区建设方案.docx</w:t>
            </w:r>
          </w:p>
        </w:tc>
      </w:tr>
      <w:tr>
        <w:tc>
          <w:tcPr>
            <w:tcW w:type="dxa" w:w="831"/>
            <w:vMerge/>
          </w:tcPr>
          <w:p/>
        </w:tc>
        <w:tc>
          <w:tcPr>
            <w:tcW w:type="dxa" w:w="1661"/>
          </w:tcPr>
          <w:p>
            <w:pPr>
              <w:pStyle w:val="null3"/>
            </w:pPr>
            <w:r>
              <w:rPr>
                <w:rFonts w:ascii="仿宋_GB2312" w:hAnsi="仿宋_GB2312" w:cs="仿宋_GB2312" w:eastAsia="仿宋_GB2312"/>
              </w:rPr>
              <w:t>质量保障与管控措施</w:t>
            </w:r>
          </w:p>
        </w:tc>
        <w:tc>
          <w:tcPr>
            <w:tcW w:type="dxa" w:w="2492"/>
          </w:tcPr>
          <w:p>
            <w:pPr>
              <w:pStyle w:val="null3"/>
            </w:pPr>
            <w:r>
              <w:rPr>
                <w:rFonts w:ascii="仿宋_GB2312" w:hAnsi="仿宋_GB2312" w:cs="仿宋_GB2312" w:eastAsia="仿宋_GB2312"/>
              </w:rPr>
              <w:t>1.评审内容 方案需包含①地膜质量承诺与证明、②全过程质量管控措施，共2个核心模块。 2.评审标准 ①地膜质量承诺与证明（6分）： a.提供符合GB13735-2017标准的承诺; b.明确承诺承担抽检费用; c.明确承诺提供第三方检测报告。 承诺内容齐全得6分，每缺少1项承诺扣2分，扣完为止。 ②全过程质量管控措施（8分）：从地膜进货、到货、使用到回收物处置的全链条质量监督措施，内容无缺陷得8分，每存在1处缺陷扣1.6分，最多扣完该模块分值8分。 缺陷定义：符合以下任意一种情形即判定为缺陷： a.内容不完整。b.描述过于简单。 c.非专门针对本项目。 d.存在逻辑漏洞。e.不利于目标实现。</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6.质量保障与管控措施.docx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1.评审内容 方案需包含①项目组织架构与职责、②关键人员资质与经验、③人员稳定性承诺，共3个核心模块。 2.评审标准 ①项目组织架构与职责（3分）：架构图清晰，关键岗位（项目经理、技术负责人等）职责分工明确，得3分；架构职责基本清晰，得1.5分；不清晰，得0分。 ②关键人员资质与经验（3分）：提供项目经理、技术负责人的相关经验、职称/资格证书等证明材料，每人得1.5分，满分3分；证明材料不全或不符合，相应扣分。 ③人员稳定性承诺（2分）：提供未经采购人同意不更换关键人员的承诺函，得2分；未提供不得分。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7.项目团队配置.docx</w:t>
            </w:r>
          </w:p>
        </w:tc>
      </w:tr>
      <w:tr>
        <w:tc>
          <w:tcPr>
            <w:tcW w:type="dxa" w:w="831"/>
            <w:vMerge/>
          </w:tcPr>
          <w:p/>
        </w:tc>
        <w:tc>
          <w:tcPr>
            <w:tcW w:type="dxa" w:w="1661"/>
          </w:tcPr>
          <w:p>
            <w:pPr>
              <w:pStyle w:val="null3"/>
            </w:pPr>
            <w:r>
              <w:rPr>
                <w:rFonts w:ascii="仿宋_GB2312" w:hAnsi="仿宋_GB2312" w:cs="仿宋_GB2312" w:eastAsia="仿宋_GB2312"/>
              </w:rPr>
              <w:t>服务保障与应急响应</w:t>
            </w:r>
          </w:p>
        </w:tc>
        <w:tc>
          <w:tcPr>
            <w:tcW w:type="dxa" w:w="2492"/>
          </w:tcPr>
          <w:p>
            <w:pPr>
              <w:pStyle w:val="null3"/>
            </w:pPr>
            <w:r>
              <w:rPr>
                <w:rFonts w:ascii="仿宋_GB2312" w:hAnsi="仿宋_GB2312" w:cs="仿宋_GB2312" w:eastAsia="仿宋_GB2312"/>
              </w:rPr>
              <w:t>1.评审内容 方案需包含①技术服务与指导计划、②问题响应机制、③突发事件应急预案，共3个核心模块。 2.评审标准 ①基础分值：每个核心模块内容无缺陷得3分，3个模块满分9分。 ②缺陷扣分：每个模块每存在1处缺陷，扣0.6分；单个模块缺陷扣分最多扣完该模块分值3分，整体扣完9分为止。 ③缺陷定义：符合以下任意一种情形即判定为缺陷： a.内容不完整。b.缺少关键证明。 c.描述模糊。d.套用其他项目内容 e.存在不可能情形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8.服务保障与应急响应.docx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中华人民共和国财政部2021年2月20日发布的“政府采购促进中小企业发展政策问答”，本合同包专门面向中小企业采购，不再执行价格评审优惠的扶持政策。价格分统一采用低价优先法计算，即满足招标文件要求且最低的响应报价为基准价，其价格分为满分。其他供应商的价格分统一按照下列公式计算：响应报价得分=(基准价／响应报价)×20%×100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开标一览表（补充）.docx</w:t>
            </w:r>
          </w:p>
          <w:p>
            <w:pPr>
              <w:pStyle w:val="null3"/>
            </w:pPr>
            <w:r>
              <w:rPr>
                <w:rFonts w:ascii="仿宋_GB2312" w:hAnsi="仿宋_GB2312" w:cs="仿宋_GB2312" w:eastAsia="仿宋_GB2312"/>
              </w:rPr>
              <w:t>分项报价明细表.docx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详见附件：开标一览表（补充）.docx</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详见附件：投标保证金凭证.docx</w:t>
      </w:r>
    </w:p>
    <w:p>
      <w:pPr>
        <w:pStyle w:val="null3"/>
        <w:ind w:firstLine="960"/>
      </w:pPr>
      <w:r>
        <w:rPr>
          <w:rFonts w:ascii="仿宋_GB2312" w:hAnsi="仿宋_GB2312" w:cs="仿宋_GB2312" w:eastAsia="仿宋_GB2312"/>
        </w:rPr>
        <w:t>详见附件：1.公司概况及业绩.docx</w:t>
      </w:r>
    </w:p>
    <w:p>
      <w:pPr>
        <w:pStyle w:val="null3"/>
        <w:ind w:firstLine="960"/>
      </w:pPr>
      <w:r>
        <w:rPr>
          <w:rFonts w:ascii="仿宋_GB2312" w:hAnsi="仿宋_GB2312" w:cs="仿宋_GB2312" w:eastAsia="仿宋_GB2312"/>
        </w:rPr>
        <w:t>详见附件：2.项目实施方案.docx</w:t>
      </w:r>
    </w:p>
    <w:p>
      <w:pPr>
        <w:pStyle w:val="null3"/>
        <w:ind w:firstLine="960"/>
      </w:pPr>
      <w:r>
        <w:rPr>
          <w:rFonts w:ascii="仿宋_GB2312" w:hAnsi="仿宋_GB2312" w:cs="仿宋_GB2312" w:eastAsia="仿宋_GB2312"/>
        </w:rPr>
        <w:t>详见附件：3.供货与配送保障方案.docx</w:t>
      </w:r>
    </w:p>
    <w:p>
      <w:pPr>
        <w:pStyle w:val="null3"/>
        <w:ind w:firstLine="960"/>
      </w:pPr>
      <w:r>
        <w:rPr>
          <w:rFonts w:ascii="仿宋_GB2312" w:hAnsi="仿宋_GB2312" w:cs="仿宋_GB2312" w:eastAsia="仿宋_GB2312"/>
        </w:rPr>
        <w:t>详见附件：4.回收处置体系建设与运营方案.docx</w:t>
      </w:r>
    </w:p>
    <w:p>
      <w:pPr>
        <w:pStyle w:val="null3"/>
        <w:ind w:firstLine="960"/>
      </w:pPr>
      <w:r>
        <w:rPr>
          <w:rFonts w:ascii="仿宋_GB2312" w:hAnsi="仿宋_GB2312" w:cs="仿宋_GB2312" w:eastAsia="仿宋_GB2312"/>
        </w:rPr>
        <w:t>详见附件：5.宣传培训与示范区建设方案.docx</w:t>
      </w:r>
    </w:p>
    <w:p>
      <w:pPr>
        <w:pStyle w:val="null3"/>
        <w:ind w:firstLine="960"/>
      </w:pPr>
      <w:r>
        <w:rPr>
          <w:rFonts w:ascii="仿宋_GB2312" w:hAnsi="仿宋_GB2312" w:cs="仿宋_GB2312" w:eastAsia="仿宋_GB2312"/>
        </w:rPr>
        <w:t>详见附件：6.质量保障与管控措施.docx</w:t>
      </w:r>
    </w:p>
    <w:p>
      <w:pPr>
        <w:pStyle w:val="null3"/>
        <w:ind w:firstLine="960"/>
      </w:pPr>
      <w:r>
        <w:rPr>
          <w:rFonts w:ascii="仿宋_GB2312" w:hAnsi="仿宋_GB2312" w:cs="仿宋_GB2312" w:eastAsia="仿宋_GB2312"/>
        </w:rPr>
        <w:t>详见附件：7.项目团队配置.docx</w:t>
      </w:r>
    </w:p>
    <w:p>
      <w:pPr>
        <w:pStyle w:val="null3"/>
        <w:ind w:firstLine="960"/>
      </w:pPr>
      <w:r>
        <w:rPr>
          <w:rFonts w:ascii="仿宋_GB2312" w:hAnsi="仿宋_GB2312" w:cs="仿宋_GB2312" w:eastAsia="仿宋_GB2312"/>
        </w:rPr>
        <w:t>详见附件：8.服务保障与应急响应.docx</w:t>
      </w:r>
    </w:p>
    <w:p>
      <w:pPr>
        <w:pStyle w:val="null3"/>
        <w:ind w:firstLine="960"/>
      </w:pPr>
      <w:r>
        <w:rPr>
          <w:rFonts w:ascii="仿宋_GB2312" w:hAnsi="仿宋_GB2312" w:cs="仿宋_GB2312" w:eastAsia="仿宋_GB2312"/>
        </w:rPr>
        <w:t>详见附件：承诺函.docx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