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版本号：中金咨招[2025]-0205号20251121001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2025年渭南市水利水质检测中心运行保障项目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中金咨招[2025]-0205号</w:t>
      </w:r>
      <w:r>
        <w:br/>
      </w:r>
      <w:r>
        <w:br/>
      </w:r>
      <w:r>
        <w:br/>
      </w:r>
    </w:p>
    <w:p>
      <w:pPr>
        <w:pStyle w:val="null3"/>
        <w:jc w:val="center"/>
        <w:outlineLvl w:val="2"/>
      </w:pPr>
      <w:r>
        <w:rPr>
          <w:rFonts w:ascii="仿宋_GB2312" w:hAnsi="仿宋_GB2312" w:cs="仿宋_GB2312" w:eastAsia="仿宋_GB2312"/>
          <w:sz w:val="28"/>
          <w:b/>
        </w:rPr>
        <w:t>渭南市地下水监测中心</w:t>
      </w:r>
    </w:p>
    <w:p>
      <w:pPr>
        <w:pStyle w:val="null3"/>
        <w:jc w:val="center"/>
        <w:outlineLvl w:val="2"/>
      </w:pPr>
      <w:r>
        <w:rPr>
          <w:rFonts w:ascii="仿宋_GB2312" w:hAnsi="仿宋_GB2312" w:cs="仿宋_GB2312" w:eastAsia="仿宋_GB2312"/>
          <w:sz w:val="28"/>
          <w:b/>
        </w:rPr>
        <w:t>中金国际项目管理有限公司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中金国际项目管理有限公司</w:t>
      </w:r>
      <w:r>
        <w:rPr>
          <w:rFonts w:ascii="仿宋_GB2312" w:hAnsi="仿宋_GB2312" w:cs="仿宋_GB2312" w:eastAsia="仿宋_GB2312"/>
        </w:rPr>
        <w:t>（以下简称“代理机构”）受</w:t>
      </w:r>
      <w:r>
        <w:rPr>
          <w:rFonts w:ascii="仿宋_GB2312" w:hAnsi="仿宋_GB2312" w:cs="仿宋_GB2312" w:eastAsia="仿宋_GB2312"/>
        </w:rPr>
        <w:t>渭南市地下水监测中心</w:t>
      </w:r>
      <w:r>
        <w:rPr>
          <w:rFonts w:ascii="仿宋_GB2312" w:hAnsi="仿宋_GB2312" w:cs="仿宋_GB2312" w:eastAsia="仿宋_GB2312"/>
        </w:rPr>
        <w:t>委托，拟对</w:t>
      </w:r>
      <w:r>
        <w:rPr>
          <w:rFonts w:ascii="仿宋_GB2312" w:hAnsi="仿宋_GB2312" w:cs="仿宋_GB2312" w:eastAsia="仿宋_GB2312"/>
        </w:rPr>
        <w:t>2025年渭南市水利水质检测中心运行保障项目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中金咨招[2025]-0205号</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2025年渭南市水利水质检测中心运行保障项目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1、水质检测实验室药剂试剂耗材等的购置；2、水质检测业务人员技术培训 ；3、仪器设备校准鉴定及维修维护等（含危废处理）（具体内容详见采购需求）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采购包1（2025年渭南市水利水质检测中心运行保障项目）：属于专门面向中小企业采购。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具有独立承担民事责任能力的法人、其他组织或自然人，并出具合法有效的营业执照或事业单位法人证书等国家规定的相关证明，自然人参与的提供其身份证明；供应商需在项目电子化交易系统中按要求上传相应证明文件并进行电子签章。</w:t>
      </w:r>
    </w:p>
    <w:p>
      <w:pPr>
        <w:pStyle w:val="null3"/>
      </w:pPr>
      <w:r>
        <w:rPr>
          <w:rFonts w:ascii="仿宋_GB2312" w:hAnsi="仿宋_GB2312" w:cs="仿宋_GB2312" w:eastAsia="仿宋_GB2312"/>
        </w:rPr>
        <w:t>2、法定代表人参加投标时，提供本人身份证；授权代表参加投标时，提供法定代表人授权书和被授权人身份证；非法人单位参照执行：企业法定代表人授权书（附法定代表人有效身份证复印件，法定代表人直接参加须提供法定代表人身份证明及本人有效身份证）及被授权人有效身份证原件和复印件；供应商需在项目电子化交易系统中按要求上传相应证明文件并进行电子签章。</w:t>
      </w:r>
    </w:p>
    <w:p>
      <w:pPr>
        <w:pStyle w:val="null3"/>
      </w:pPr>
      <w:r>
        <w:rPr>
          <w:rFonts w:ascii="仿宋_GB2312" w:hAnsi="仿宋_GB2312" w:cs="仿宋_GB2312" w:eastAsia="仿宋_GB2312"/>
        </w:rPr>
        <w:t>3、参加政府采购活动前三年内，在经营活动中没有重大违法记录的书面声明；：参加政府采购活动前三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4、税收证明：提供投标文件递交截止日前六个月内任意一个月的纳税证明或完税证明，依法免税的单位应提供相关证明材料；供应商需在项目电子化交易系统中按要求上传相应证明文件并进行电子签章。</w:t>
      </w:r>
    </w:p>
    <w:p>
      <w:pPr>
        <w:pStyle w:val="null3"/>
      </w:pPr>
      <w:r>
        <w:rPr>
          <w:rFonts w:ascii="仿宋_GB2312" w:hAnsi="仿宋_GB2312" w:cs="仿宋_GB2312" w:eastAsia="仿宋_GB2312"/>
        </w:rPr>
        <w:t>5、社会保障资金缴纳证明：提供投标文件递交截止日前六个月内任意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6、信用查询：不得为“信用中国”网站（www.creditchina.gov.cn）中列入失信被执行人和重大税收违法案件当事人名单的投标人，不得为中国政府采购网（www.ccgp.gov.cn）政府采购严重违法失信行为记录名单中被财政部门禁止参加政府采购活动的投标人；供应商需在项目电子化交易系统中按要求上传相应证明文件并进行电子签章。</w:t>
      </w:r>
    </w:p>
    <w:p>
      <w:pPr>
        <w:pStyle w:val="null3"/>
      </w:pPr>
      <w:r>
        <w:rPr>
          <w:rFonts w:ascii="仿宋_GB2312" w:hAnsi="仿宋_GB2312" w:cs="仿宋_GB2312" w:eastAsia="仿宋_GB2312"/>
        </w:rPr>
        <w:t>7、履行承诺：供应商具有履行合同所必需的设备和专业技术能力的承诺。供应商需在项目电子化交易系统中按要求上传相应证明文件并进行电子签章。</w:t>
      </w:r>
    </w:p>
    <w:p>
      <w:pPr>
        <w:pStyle w:val="null3"/>
      </w:pPr>
      <w:r>
        <w:rPr>
          <w:rFonts w:ascii="仿宋_GB2312" w:hAnsi="仿宋_GB2312" w:cs="仿宋_GB2312" w:eastAsia="仿宋_GB2312"/>
        </w:rPr>
        <w:t>8、本项目不接受联合体投标：本项目不接受联合体投标，供应商需在项目电子化交易系统中按要求上传相应证明文件并进行电子签章。</w:t>
      </w:r>
    </w:p>
    <w:p>
      <w:pPr>
        <w:pStyle w:val="null3"/>
      </w:pPr>
      <w:r>
        <w:rPr>
          <w:rFonts w:ascii="仿宋_GB2312" w:hAnsi="仿宋_GB2312" w:cs="仿宋_GB2312" w:eastAsia="仿宋_GB2312"/>
        </w:rPr>
        <w:t>9、单位负责人为同一人或者存在直接控股、管理关系的不同供应商不得参加同一合同项下的政府采购活动；为本项目提供整体设计、规范编制或者项目管理、监理、检测等服务的供应商，不得再参加该采购项目的其他采购活动。：供应商需在项目电子化交易系统中按要求填写《投标函》完成承诺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渭南市地下水监测中心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陕西省渭南市临渭区站南二路四号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渭南市地下水监测中心经办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13319130186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中金国际项目管理有限公司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西安市雁塔区旺座曲江E座1304室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13572476552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 xml:space="preserve">/ </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代理服务费收费标准：参照国家计委关于印发《招标代理服务收费管理暂行办法》的通知（计价格[2002]1980号）和发改办价格[2003]857号规定计取，不足5000元按5000元计取。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渭南市地下水监测中心</w:t>
      </w:r>
      <w:r>
        <w:rPr>
          <w:rFonts w:ascii="仿宋_GB2312" w:hAnsi="仿宋_GB2312" w:cs="仿宋_GB2312" w:eastAsia="仿宋_GB2312"/>
        </w:rPr>
        <w:t>和</w:t>
      </w:r>
      <w:r>
        <w:rPr>
          <w:rFonts w:ascii="仿宋_GB2312" w:hAnsi="仿宋_GB2312" w:cs="仿宋_GB2312" w:eastAsia="仿宋_GB2312"/>
        </w:rPr>
        <w:t>中金国际项目管理有限公司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渭南市地下水监测中心</w:t>
      </w:r>
      <w:r>
        <w:rPr>
          <w:rFonts w:ascii="仿宋_GB2312" w:hAnsi="仿宋_GB2312" w:cs="仿宋_GB2312" w:eastAsia="仿宋_GB2312"/>
        </w:rPr>
        <w:t>负责解释。除上述磋商文件内容，其他内容由</w:t>
      </w:r>
      <w:r>
        <w:rPr>
          <w:rFonts w:ascii="仿宋_GB2312" w:hAnsi="仿宋_GB2312" w:cs="仿宋_GB2312" w:eastAsia="仿宋_GB2312"/>
        </w:rPr>
        <w:t>中金国际项目管理有限公司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渭南市地下水监测中心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中金国际项目管理有限公司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中金国际项目管理有限公司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中金国际项目管理有限公司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中金国际项目管理有限公司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联系人：陈工</w:t>
      </w:r>
    </w:p>
    <w:p>
      <w:pPr>
        <w:pStyle w:val="null3"/>
      </w:pPr>
      <w:r>
        <w:rPr>
          <w:rFonts w:ascii="仿宋_GB2312" w:hAnsi="仿宋_GB2312" w:cs="仿宋_GB2312" w:eastAsia="仿宋_GB2312"/>
        </w:rPr>
        <w:t>联系电话：13572476552</w:t>
      </w:r>
    </w:p>
    <w:p>
      <w:pPr>
        <w:pStyle w:val="null3"/>
      </w:pPr>
      <w:r>
        <w:rPr>
          <w:rFonts w:ascii="仿宋_GB2312" w:hAnsi="仿宋_GB2312" w:cs="仿宋_GB2312" w:eastAsia="仿宋_GB2312"/>
        </w:rPr>
        <w:t>地址：西安市雁塔区旺座曲江E座1304室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1、水质检测实验室药剂试剂耗材等的购置；2、水质检测业务人员技术培训 ；3、仪器设备校准鉴定及维修维护等（含危废处理）（具体内容详见采购需求）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500000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标的名称：500000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药剂试剂与耗材保障：所提供的药剂、试剂及耗材须充分满足实验室对</w:t>
            </w:r>
            <w:r>
              <w:rPr>
                <w:rFonts w:ascii="仿宋_GB2312" w:hAnsi="仿宋_GB2312" w:cs="仿宋_GB2312" w:eastAsia="仿宋_GB2312"/>
                <w:sz w:val="20"/>
              </w:rPr>
              <w:t>80处及以上供水工程进行检测工作的需求，确保检测任务顺利</w:t>
            </w:r>
            <w:r>
              <w:rPr>
                <w:rFonts w:ascii="仿宋_GB2312" w:hAnsi="仿宋_GB2312" w:cs="仿宋_GB2312" w:eastAsia="仿宋_GB2312"/>
                <w:sz w:val="20"/>
              </w:rPr>
              <w:t>完成</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仪器设备运行及及危废处理保障：仪器设备运行保障：配备的仪器设备须运行稳定、性能可靠，能够全面满足实验室对</w:t>
            </w:r>
            <w:r>
              <w:rPr>
                <w:rFonts w:ascii="仿宋_GB2312" w:hAnsi="仿宋_GB2312" w:cs="仿宋_GB2312" w:eastAsia="仿宋_GB2312"/>
                <w:sz w:val="20"/>
              </w:rPr>
              <w:t>80处及以上供水工程检测任务的工作需要，保障检测效率与质量。</w:t>
            </w:r>
          </w:p>
          <w:p>
            <w:pPr>
              <w:pStyle w:val="null3"/>
              <w:jc w:val="both"/>
            </w:pPr>
            <w:r>
              <w:rPr>
                <w:rFonts w:ascii="仿宋_GB2312" w:hAnsi="仿宋_GB2312" w:cs="仿宋_GB2312" w:eastAsia="仿宋_GB2312"/>
                <w:sz w:val="20"/>
              </w:rPr>
              <w:t>危废处理保障：严格按照国家及地方相关环保法律法规要求，安排专业公司对检测过程中产生的各类危险废物进行规范、安全处理，确保危废处置合法合规，杜绝环境污染风险。</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人员培训与能力建设：</w:t>
            </w:r>
          </w:p>
          <w:p>
            <w:pPr>
              <w:pStyle w:val="null3"/>
              <w:jc w:val="both"/>
            </w:pPr>
            <w:r>
              <w:rPr>
                <w:rFonts w:ascii="仿宋_GB2312" w:hAnsi="仿宋_GB2312" w:cs="仿宋_GB2312" w:eastAsia="仿宋_GB2312"/>
                <w:sz w:val="20"/>
              </w:rPr>
              <w:t>市级培训：须组织全市水质检测业务技术人员专题培训不少于</w:t>
            </w:r>
            <w:r>
              <w:rPr>
                <w:rFonts w:ascii="仿宋_GB2312" w:hAnsi="仿宋_GB2312" w:cs="仿宋_GB2312" w:eastAsia="仿宋_GB2312"/>
                <w:sz w:val="20"/>
              </w:rPr>
              <w:t>1次，提升全市水质</w:t>
            </w:r>
            <w:r>
              <w:rPr>
                <w:rFonts w:ascii="仿宋_GB2312" w:hAnsi="仿宋_GB2312" w:cs="仿宋_GB2312" w:eastAsia="仿宋_GB2312"/>
                <w:sz w:val="20"/>
              </w:rPr>
              <w:t>检测整体技术水平。</w:t>
            </w:r>
          </w:p>
          <w:p>
            <w:pPr>
              <w:pStyle w:val="null3"/>
              <w:jc w:val="both"/>
            </w:pPr>
            <w:r>
              <w:rPr>
                <w:rFonts w:ascii="仿宋_GB2312" w:hAnsi="仿宋_GB2312" w:cs="仿宋_GB2312" w:eastAsia="仿宋_GB2312"/>
                <w:sz w:val="20"/>
              </w:rPr>
              <w:t>内部能力提升：须组织实验室内部工作人员系统培训，使其具备对生活饮用水、地下水、地表水、农田灌溉水等四大类水体共计</w:t>
            </w:r>
            <w:r>
              <w:rPr>
                <w:rFonts w:ascii="仿宋_GB2312" w:hAnsi="仿宋_GB2312" w:cs="仿宋_GB2312" w:eastAsia="仿宋_GB2312"/>
                <w:sz w:val="20"/>
              </w:rPr>
              <w:t>160项以上水质指标的规范检测能力。</w:t>
            </w:r>
          </w:p>
          <w:p>
            <w:pPr>
              <w:pStyle w:val="null3"/>
              <w:jc w:val="both"/>
            </w:pPr>
            <w:r>
              <w:rPr>
                <w:rFonts w:ascii="仿宋_GB2312" w:hAnsi="仿宋_GB2312" w:cs="仿宋_GB2312" w:eastAsia="仿宋_GB2312"/>
                <w:sz w:val="20"/>
              </w:rPr>
              <w:t>4.合规性与需求满足：所有服务内容及成果须严格符合相关行业规范、标准要求，并切实满足采购人的具体需求。</w:t>
            </w:r>
          </w:p>
          <w:p>
            <w:pPr>
              <w:pStyle w:val="null3"/>
              <w:jc w:val="center"/>
            </w:pPr>
            <w:r>
              <w:rPr>
                <w:rFonts w:ascii="仿宋_GB2312" w:hAnsi="仿宋_GB2312" w:cs="仿宋_GB2312" w:eastAsia="仿宋_GB2312"/>
                <w:sz w:val="21"/>
              </w:rPr>
              <w:t>实验室药剂试剂耗材清单</w:t>
            </w:r>
          </w:p>
          <w:tbl>
            <w:tblPr>
              <w:tblInd w:type="dxa" w:w="135"/>
              <w:tblBorders>
                <w:top w:val="none" w:color="000000" w:sz="4"/>
                <w:left w:val="none" w:color="000000" w:sz="4"/>
                <w:bottom w:val="none" w:color="000000" w:sz="4"/>
                <w:right w:val="none" w:color="000000" w:sz="4"/>
                <w:insideH w:val="none"/>
                <w:insideV w:val="none"/>
              </w:tblBorders>
            </w:tblPr>
            <w:tblGrid>
              <w:gridCol w:w="256"/>
              <w:gridCol w:w="448"/>
              <w:gridCol w:w="1380"/>
              <w:gridCol w:w="468"/>
            </w:tblGrid>
            <w:tr>
              <w:tc>
                <w:tcPr>
                  <w:tcW w:type="dxa" w:w="2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序号</w:t>
                  </w:r>
                </w:p>
              </w:tc>
              <w:tc>
                <w:tcPr>
                  <w:tcW w:type="dxa" w:w="4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项目</w:t>
                  </w:r>
                </w:p>
              </w:tc>
              <w:tc>
                <w:tcPr>
                  <w:tcW w:type="dxa" w:w="13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内容</w:t>
                  </w:r>
                </w:p>
              </w:tc>
              <w:tc>
                <w:tcPr>
                  <w:tcW w:type="dxa" w:w="4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数量（项）</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标准物质</w:t>
                  </w:r>
                </w:p>
              </w:tc>
              <w:tc>
                <w:tcPr>
                  <w:tcW w:type="dxa" w:w="1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含标液、质控样等</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试剂</w:t>
                  </w:r>
                </w:p>
              </w:tc>
              <w:tc>
                <w:tcPr>
                  <w:tcW w:type="dxa" w:w="1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含常规试剂和易制毒、易</w:t>
                  </w:r>
                  <w:r>
                    <w:rPr>
                      <w:rFonts w:ascii="仿宋_GB2312" w:hAnsi="仿宋_GB2312" w:cs="仿宋_GB2312" w:eastAsia="仿宋_GB2312"/>
                      <w:sz w:val="21"/>
                    </w:rPr>
                    <w:t>制爆等</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耗材</w:t>
                  </w:r>
                </w:p>
              </w:tc>
              <w:tc>
                <w:tcPr>
                  <w:tcW w:type="dxa" w:w="1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含仪器耗材和实验耗材等</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r>
          </w:tbl>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供应商根据服务要求自主填写</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供应商根据服务要求自主填写</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服务质量、标准、期限、效率等要求 1.产品及其服务质量应符合国家法律法规和技术标准。 2.采购人本项目相关的所有政策文件、审查结果、用户信息，供应商不得以任何形式向第三方透露。3.供应商实施本项目所获得的所有原始文件、审查结果等，应提交采购人留底。 4.接到采购人（用户）提出的服务支持要求后2小时内予以响应，24小时内解决问题。 合同要求 1、产品的质量技术标准按国家法律法规规定的合格标准、采购文件要求的技术标准执行。 2、乙方售后服务响应时间：24小时内响应，4小时内到现场处理相关问题，费用由乙方负贵。如乙方在接到通知工作日的24小 时内没有答复和处理问题，则视为乙方承认质量问题并承担由此而发生的一切费用。质保期间因产品的任何质量问题原因造成的直接经济损失应全部由乙方自行负责。 3、乙方安排至少一名熟悉业务的实施人员负责项目实施和服务，在合同履行中未经业主同意不得擅自更换他人。 4、由乙方对甲方操作人员提供培训计划，并在合同签订后实施。承担所有培训费用。 5、乙方保证所售产品不会侵犯任何第三方权利，否则乙方将承担采购人由此受到的一切损失。 6、乙方在交付前应根据本合同、采购文件等所列的检测标准(各业务系统具体验收标准由采购人提供，并在合同附则中进行明确)对该交付内容进行测试，以确认其符合本合同的规定。 7、交付内容包括但不限于文档、用户指南、操作手册、安装指南和测试报告等，所交付的文档与文件应当是电子版或可供人阅读的。8、如因乙方产品质量问题的原因，导致甲方损失，乙方应予以赔偿。 9、乙方在工作时间内随时为甲方以电话、传真、电子邮件方式免费提供所买产品的服务与技术支持维护，通常软件故障，提供实时响应解决。10、乙方提供硬件验收合格后一年质保。11、乙方提供软件验收合格后一年质保。12、乙方提供验收合格后一年年免费升级支 持。 13、乙方对软件提供一年技术支持。</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自合同签订生效之日起6个月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渭南市地下水监测中心</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符合CMA资质认证的要求，国标《生活饮用水卫生标准》（GB5479-2022）、《生活饮用水标准检验方法》（GB/T5750-2023）等。</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乙方进场并开展工作后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依法向项目所在地人民法院提起诉讼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三、资格证明文件.docx 五、供应商承诺书.docx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2024年度的财务审计报告（至少包括资产负债表和利润表，成立时间至提交投标文件截止时间不足一年的可提供成立后任意时段的资产负债表），或其开标前六个月内银行开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三、资格证明文件.docx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三、资格证明文件.docx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法定代表人参加投标时，提供本人身份证；授权代表参加投标时，提供法定代表人授权书和被授权人身份证；非法人单位参照执行</w:t>
            </w:r>
          </w:p>
        </w:tc>
        <w:tc>
          <w:tcPr>
            <w:tcW w:type="dxa" w:w="3322"/>
          </w:tcPr>
          <w:p>
            <w:pPr>
              <w:pStyle w:val="null3"/>
            </w:pPr>
            <w:r>
              <w:rPr>
                <w:rFonts w:ascii="仿宋_GB2312" w:hAnsi="仿宋_GB2312" w:cs="仿宋_GB2312" w:eastAsia="仿宋_GB2312"/>
              </w:rPr>
              <w:t>企业法定代表人授权书（附法定代表人有效身份证复印件，法定代表人直接参加须提供法定代表人身份证明及本人有效身份证）及被授权人有效身份证原件和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二、法定代表人授权委托书.docx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参加政府采购活动前三年内，在经营活动中没有重大违法记录的书面声明；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三、资格证明文件.docx 附件1.参加本次政府采购活动前三年内，在经营活动中没有重大违法记录的书面声明docx.docx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税收证明</w:t>
            </w:r>
          </w:p>
        </w:tc>
        <w:tc>
          <w:tcPr>
            <w:tcW w:type="dxa" w:w="3322"/>
          </w:tcPr>
          <w:p>
            <w:pPr>
              <w:pStyle w:val="null3"/>
            </w:pPr>
            <w:r>
              <w:rPr>
                <w:rFonts w:ascii="仿宋_GB2312" w:hAnsi="仿宋_GB2312" w:cs="仿宋_GB2312" w:eastAsia="仿宋_GB2312"/>
              </w:rPr>
              <w:t>提供投标文件递交截止日前六个月内任意一个月的纳税证明或完税证明，依法免税的单位应提供相关证明材料；供应商需在项目电子化交易系统中按要求上传相应证明文件并进行电子签章。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三、资格证明文件.docx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文件递交截止日前六个月内任意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三、资格证明文件.docx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www.creditchina.gov.cn）中列入失信被执行人和重大税收违法案件当事人名单的投标人，不得为中国政府采购网（www.ccgp.gov.cn）政府采购严重违法失信行为记录名单中被财政部门禁止参加政府采购活动的投标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三、资格证明文件.docx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履行承诺</w:t>
            </w:r>
          </w:p>
        </w:tc>
        <w:tc>
          <w:tcPr>
            <w:tcW w:type="dxa" w:w="3322"/>
          </w:tcPr>
          <w:p>
            <w:pPr>
              <w:pStyle w:val="null3"/>
            </w:pPr>
            <w:r>
              <w:rPr>
                <w:rFonts w:ascii="仿宋_GB2312" w:hAnsi="仿宋_GB2312" w:cs="仿宋_GB2312" w:eastAsia="仿宋_GB2312"/>
              </w:rPr>
              <w:t>供应商具有履行合同所必需的设备和专业技术能力的承诺。供应商需在项目电子化交易系统中按要求上传相应证明文件并进行电子签章。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三、资格证明文件.docx 附件2.供应商具有履行合同所必需的设备和专业技术能力的承诺docx.docx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三、资格证明文件.docx 附件3.非联合体投标声明docx.docx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三、资格证明文件.docx 附件4：企业关系关联承诺书.docx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标的清单 报价表 六、其它资料.docx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一、评审内容：针对本项目提供实施方案，方案内容包括：①供货组织计划②质量控制检验方案③人员及物力保障措施。 二、评审标准：1、完整性：方案必须全面，对评审内容中的各项要求有详细描述；2、可实施性：切合本项目实际情况，提出步骤清晰、合理的方案；3、针对性：方案能够紧扣项目实际情况，内容科学合理。 三、赋分标准（满分21分）：①供货组织计划（满分9分）：每完全满足一个评审标准得3分，基本满足得1.5分，不满足得0分；②质量控制检验方案（满分6分）：每完全满足一个评审标准得2分，基本满足得1分，不满足得0分；③人员及物力保障措施（满分6分）：每完全满足一个评审标准得2分，基本满足得1分，不满足得0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四、评审办法响应及服务方案.docx</w:t>
            </w:r>
          </w:p>
        </w:tc>
      </w:tr>
      <w:tr>
        <w:tc>
          <w:tcPr>
            <w:tcW w:type="dxa" w:w="831"/>
            <w:vMerge/>
          </w:tcPr>
          <w:p/>
        </w:tc>
        <w:tc>
          <w:tcPr>
            <w:tcW w:type="dxa" w:w="1661"/>
          </w:tcPr>
          <w:p>
            <w:pPr>
              <w:pStyle w:val="null3"/>
            </w:pPr>
            <w:r>
              <w:rPr>
                <w:rFonts w:ascii="仿宋_GB2312" w:hAnsi="仿宋_GB2312" w:cs="仿宋_GB2312" w:eastAsia="仿宋_GB2312"/>
              </w:rPr>
              <w:t>仪器设备与危废处理保障</w:t>
            </w:r>
          </w:p>
        </w:tc>
        <w:tc>
          <w:tcPr>
            <w:tcW w:type="dxa" w:w="2492"/>
          </w:tcPr>
          <w:p>
            <w:pPr>
              <w:pStyle w:val="null3"/>
            </w:pPr>
            <w:r>
              <w:rPr>
                <w:rFonts w:ascii="仿宋_GB2312" w:hAnsi="仿宋_GB2312" w:cs="仿宋_GB2312" w:eastAsia="仿宋_GB2312"/>
              </w:rPr>
              <w:t>一、评审内容：根据项目实际需求，提供针对本项目的仪器设备与危废处理保障，包括①仪器校准鉴定方案；②维修维护方案；二、评审标准：1、完整性：方案必须全面，对评审内容中的各项要求有详细描述； 2、可实施性：切合本项目实际情况，提出步骤清晰、合理的方案； 3、针对性：方案能够紧扣项目实际情况，内容科学合理。 三、赋分标准（满分12分）：①仪器校准鉴定方案；（满分6分）：每完全满足一个评审标准得2分，基本满足得1分，不满足得0分； ②维修维护方案（满分6分）：每完全满足一个评审标准得2分，基本满足得1分，不满足得0分；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四、评审办法响应及服务方案.docx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一、评审内容：根据项目实际需求，提供针对本项目的售后服务方案，方案内容包含①售后服务承诺②售后服务内容③响应时间、响应方式及响应速度。 二、评审标准：1、完整性：方案必须全面，对评审内容中的各项要求有详细描述； 2、可实施性：切合本项目实际情况，提出步骤清晰、合理的方案； 3、针对性：方案能够紧扣项目实际情况，内容科学合理。 三、赋分标准（满分12分）： ①售后服务承诺（满分6分）：每完全满足一个评审标准得2分，基本满足得1分，不满足得0分； ②售后服务内容（满分3分）：每完全满足一个评审标准得1分，基本满足得0.5分，不满足得0分； ③响应时间、响应方式及响应速度（满分3分）：每完全满足一个评审标准得1分，基本满足得0.5分，不满足得0分。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四、评审办法响应及服务方案.docx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针对本项目实施过程中的重点和难点，提供有针对性的合理化建议，每提供一条得1分，满分6分。不提供不得分。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四、评审办法响应及服务方案.docx</w:t>
            </w:r>
          </w:p>
        </w:tc>
      </w:tr>
      <w:tr>
        <w:tc>
          <w:tcPr>
            <w:tcW w:type="dxa" w:w="831"/>
            <w:vMerge/>
          </w:tcPr>
          <w:p/>
        </w:tc>
        <w:tc>
          <w:tcPr>
            <w:tcW w:type="dxa" w:w="1661"/>
          </w:tcPr>
          <w:p>
            <w:pPr>
              <w:pStyle w:val="null3"/>
            </w:pPr>
            <w:r>
              <w:rPr>
                <w:rFonts w:ascii="仿宋_GB2312" w:hAnsi="仿宋_GB2312" w:cs="仿宋_GB2312" w:eastAsia="仿宋_GB2312"/>
              </w:rPr>
              <w:t>检测实施方案</w:t>
            </w:r>
          </w:p>
        </w:tc>
        <w:tc>
          <w:tcPr>
            <w:tcW w:type="dxa" w:w="2492"/>
          </w:tcPr>
          <w:p>
            <w:pPr>
              <w:pStyle w:val="null3"/>
            </w:pPr>
            <w:r>
              <w:rPr>
                <w:rFonts w:ascii="仿宋_GB2312" w:hAnsi="仿宋_GB2312" w:cs="仿宋_GB2312" w:eastAsia="仿宋_GB2312"/>
              </w:rPr>
              <w:t>一、评审内容：根据项目实际需求，制定检测实施方案，包括①检测项目覆盖度； ②方案的科学性；③方案的可实施性； 二、评审标准：1、完整性：方案必须全面，对评审内容中的各项要求有详细描述； 2、可实施性：切合本项目实际情况，提出步骤清晰、合理的方案； 3、针对性：方案能够紧扣项目实际情况，内容科学合理。 三、赋分标准（满分12分）：①检测项目覆盖度；（满分6分）：每完全满足一个评审标准得2分，基本满足得1分，不满足得0分；②方案的科学性；（满分3分）：每完全满足一个评审标准得1分，基本满足得0.5分，不满足得0分；③方案的可实施性；（满分3分）：每完全满足一个评审标准得1分，基本满足得0.5分，不满足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四、评审办法响应及服务方案.docx</w:t>
            </w:r>
          </w:p>
        </w:tc>
      </w:tr>
      <w:tr>
        <w:tc>
          <w:tcPr>
            <w:tcW w:type="dxa" w:w="831"/>
            <w:vMerge/>
          </w:tcPr>
          <w:p/>
        </w:tc>
        <w:tc>
          <w:tcPr>
            <w:tcW w:type="dxa" w:w="1661"/>
          </w:tcPr>
          <w:p>
            <w:pPr>
              <w:pStyle w:val="null3"/>
            </w:pPr>
            <w:r>
              <w:rPr>
                <w:rFonts w:ascii="仿宋_GB2312" w:hAnsi="仿宋_GB2312" w:cs="仿宋_GB2312" w:eastAsia="仿宋_GB2312"/>
              </w:rPr>
              <w:t>人员培训与技术支持</w:t>
            </w:r>
          </w:p>
        </w:tc>
        <w:tc>
          <w:tcPr>
            <w:tcW w:type="dxa" w:w="2492"/>
          </w:tcPr>
          <w:p>
            <w:pPr>
              <w:pStyle w:val="null3"/>
            </w:pPr>
            <w:r>
              <w:rPr>
                <w:rFonts w:ascii="仿宋_GB2312" w:hAnsi="仿宋_GB2312" w:cs="仿宋_GB2312" w:eastAsia="仿宋_GB2312"/>
              </w:rPr>
              <w:t>一、评审内容：根据项目实际需求，针对本项目制定面向采购人的培训方案，包括①培训次数；②培训内容；③培训师资；④培训效果保障（培训后人员能独立完成检测操作，提供考核机制（如理论考试、实操考核）；二、评审标准：1、完整性：方案必须全面，对评审内容中的各项要求有详细描述； 2、可实施性：切合本项目实际情况，提出步骤清晰、合理的方案； 3、针对性：方案能够紧扣项目实际情况，内容科学合理。 三、赋分标准（满分12分）：①培训次数；（满分3分）：每完全满足一个评审标准得1分，基本满足得0.5分，不满足得0分； ②培训内容；（满分3分）：每完全满足一个评审标准得1分，基本满足得0.5分，不满足得0分；③培训师资；（满分3分）：每完全满足一个评审标准得1分，基本满足得0.5分，不满足得0分；④培训效果保障（满分3分）：每完全满足一个评审标准得1分，基本满足得0.5分，不满足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四、评审办法响应及服务方案.docx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提供2022年1月1日（以合同签订时间为准）以来类似项目业绩，附合同或合同关键页（必须含封面、内容、合同价款、签订时间、盖章签字页等信息）的复印件或扫描件，每提供一个计2.5分，最高得分为5分。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四、评审办法响应及服务方案.docx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2.满足竞争性磋商文件实质性要求且最终报价最低的供应商的价格为磋商基准价，其价格分为满分20分。3.磋商报价得分=（磋商基准价/最终磋商报价）×20。4.磋商报价不完整的，不进入磋商基准价的计算，本项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六、其它资料.docx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详见附件：二、法定代表人授权委托书.docx</w:t>
      </w:r>
    </w:p>
    <w:p>
      <w:pPr>
        <w:pStyle w:val="null3"/>
        <w:ind w:firstLine="960"/>
      </w:pPr>
      <w:r>
        <w:rPr>
          <w:rFonts w:ascii="仿宋_GB2312" w:hAnsi="仿宋_GB2312" w:cs="仿宋_GB2312" w:eastAsia="仿宋_GB2312"/>
        </w:rPr>
        <w:t>详见附件：三、资格证明文件.docx</w:t>
      </w:r>
    </w:p>
    <w:p>
      <w:pPr>
        <w:pStyle w:val="null3"/>
        <w:ind w:firstLine="960"/>
      </w:pPr>
      <w:r>
        <w:rPr>
          <w:rFonts w:ascii="仿宋_GB2312" w:hAnsi="仿宋_GB2312" w:cs="仿宋_GB2312" w:eastAsia="仿宋_GB2312"/>
        </w:rPr>
        <w:t>详见附件：四、评审办法响应及服务方案.docx</w:t>
      </w:r>
    </w:p>
    <w:p>
      <w:pPr>
        <w:pStyle w:val="null3"/>
        <w:ind w:firstLine="960"/>
      </w:pPr>
      <w:r>
        <w:rPr>
          <w:rFonts w:ascii="仿宋_GB2312" w:hAnsi="仿宋_GB2312" w:cs="仿宋_GB2312" w:eastAsia="仿宋_GB2312"/>
        </w:rPr>
        <w:t>详见附件：五、供应商承诺书.docx</w:t>
      </w:r>
    </w:p>
    <w:p>
      <w:pPr>
        <w:pStyle w:val="null3"/>
        <w:ind w:firstLine="960"/>
      </w:pPr>
      <w:r>
        <w:rPr>
          <w:rFonts w:ascii="仿宋_GB2312" w:hAnsi="仿宋_GB2312" w:cs="仿宋_GB2312" w:eastAsia="仿宋_GB2312"/>
        </w:rPr>
        <w:t>详见附件：六、其它资料.docx</w:t>
      </w:r>
    </w:p>
    <w:p>
      <w:pPr>
        <w:pStyle w:val="null3"/>
        <w:ind w:firstLine="960"/>
      </w:pPr>
      <w:r>
        <w:rPr>
          <w:rFonts w:ascii="仿宋_GB2312" w:hAnsi="仿宋_GB2312" w:cs="仿宋_GB2312" w:eastAsia="仿宋_GB2312"/>
        </w:rPr>
        <w:t>详见附件：附件1.参加本次政府采购活动前三年内，在经营活动中没有重大违法记录的书面声明docx.docx</w:t>
      </w:r>
    </w:p>
    <w:p>
      <w:pPr>
        <w:pStyle w:val="null3"/>
        <w:ind w:firstLine="960"/>
      </w:pPr>
      <w:r>
        <w:rPr>
          <w:rFonts w:ascii="仿宋_GB2312" w:hAnsi="仿宋_GB2312" w:cs="仿宋_GB2312" w:eastAsia="仿宋_GB2312"/>
        </w:rPr>
        <w:t>详见附件：附件2.供应商具有履行合同所必需的设备和专业技术能力的承诺docx.docx</w:t>
      </w:r>
    </w:p>
    <w:p>
      <w:pPr>
        <w:pStyle w:val="null3"/>
        <w:ind w:firstLine="960"/>
      </w:pPr>
      <w:r>
        <w:rPr>
          <w:rFonts w:ascii="仿宋_GB2312" w:hAnsi="仿宋_GB2312" w:cs="仿宋_GB2312" w:eastAsia="仿宋_GB2312"/>
        </w:rPr>
        <w:t>详见附件：附件3.非联合体投标声明docx.docx</w:t>
      </w:r>
    </w:p>
    <w:p>
      <w:pPr>
        <w:pStyle w:val="null3"/>
        <w:ind w:firstLine="960"/>
      </w:pPr>
      <w:r>
        <w:rPr>
          <w:rFonts w:ascii="仿宋_GB2312" w:hAnsi="仿宋_GB2312" w:cs="仿宋_GB2312" w:eastAsia="仿宋_GB2312"/>
        </w:rPr>
        <w:t>详见附件：附件4：企业关系关联承诺书.docx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