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13FD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10" w:afterAutospacing="0" w:line="26" w:lineRule="atLeast"/>
        <w:ind w:right="0"/>
        <w:jc w:val="center"/>
        <w:rPr>
          <w:rFonts w:hint="eastAsia" w:eastAsia="宋体" w:cs="宋体"/>
          <w:b/>
          <w:bCs/>
          <w:i w:val="0"/>
          <w:iCs w:val="0"/>
          <w:caps w:val="0"/>
          <w:color w:val="auto"/>
          <w:spacing w:val="0"/>
          <w:sz w:val="44"/>
          <w:szCs w:val="44"/>
          <w:lang w:val="en-US" w:eastAsia="zh-CN"/>
        </w:rPr>
      </w:pPr>
      <w:r>
        <w:rPr>
          <w:rFonts w:hint="eastAsia" w:eastAsia="宋体" w:cs="宋体"/>
          <w:b/>
          <w:bCs/>
          <w:i w:val="0"/>
          <w:iCs w:val="0"/>
          <w:caps w:val="0"/>
          <w:color w:val="auto"/>
          <w:spacing w:val="0"/>
          <w:sz w:val="44"/>
          <w:szCs w:val="44"/>
          <w:lang w:val="en-US" w:eastAsia="zh-CN"/>
        </w:rPr>
        <w:t>渭南市商务局</w:t>
      </w:r>
    </w:p>
    <w:p w14:paraId="46E9B823">
      <w:pPr>
        <w:pStyle w:val="5"/>
        <w:rPr>
          <w:rFonts w:hint="eastAsia" w:eastAsia="宋体" w:cs="宋体"/>
          <w:b/>
          <w:bCs/>
          <w:i w:val="0"/>
          <w:iCs w:val="0"/>
          <w:caps w:val="0"/>
          <w:color w:val="auto"/>
          <w:spacing w:val="0"/>
          <w:sz w:val="44"/>
          <w:szCs w:val="44"/>
          <w:lang w:val="en-US" w:eastAsia="zh-CN"/>
        </w:rPr>
      </w:pPr>
      <w:r>
        <w:rPr>
          <w:rFonts w:hint="eastAsia" w:eastAsia="宋体" w:cs="宋体"/>
          <w:b/>
          <w:bCs/>
          <w:i w:val="0"/>
          <w:iCs w:val="0"/>
          <w:caps w:val="0"/>
          <w:color w:val="auto"/>
          <w:spacing w:val="0"/>
          <w:sz w:val="44"/>
          <w:szCs w:val="44"/>
          <w:lang w:val="en-US" w:eastAsia="zh-CN"/>
        </w:rPr>
        <w:t>渭南市 2025-2026 年度冬春蔬菜储备</w:t>
      </w:r>
    </w:p>
    <w:p w14:paraId="11A01F1C">
      <w:pPr>
        <w:pStyle w:val="5"/>
        <w:ind w:firstLine="3092" w:firstLineChars="700"/>
        <w:rPr>
          <w:rFonts w:hint="eastAsia"/>
          <w:sz w:val="24"/>
          <w:szCs w:val="18"/>
        </w:rPr>
      </w:pPr>
      <w:r>
        <w:rPr>
          <w:rFonts w:hint="eastAsia" w:eastAsia="宋体" w:cs="宋体"/>
          <w:b/>
          <w:bCs/>
          <w:i w:val="0"/>
          <w:iCs w:val="0"/>
          <w:caps w:val="0"/>
          <w:color w:val="auto"/>
          <w:spacing w:val="0"/>
          <w:sz w:val="44"/>
          <w:szCs w:val="44"/>
          <w:lang w:val="en-US" w:eastAsia="zh-CN"/>
        </w:rPr>
        <w:t>服务采购项目</w:t>
      </w:r>
    </w:p>
    <w:p w14:paraId="4634ED77">
      <w:pPr>
        <w:pStyle w:val="5"/>
        <w:rPr>
          <w:rFonts w:hint="eastAsia"/>
        </w:rPr>
      </w:pPr>
    </w:p>
    <w:p w14:paraId="6D29D461">
      <w:pPr>
        <w:jc w:val="center"/>
        <w:rPr>
          <w:rFonts w:hint="eastAsia" w:ascii="宋体" w:hAnsi="宋体" w:eastAsia="宋体" w:cs="宋体"/>
          <w:b/>
          <w:color w:val="auto"/>
          <w:sz w:val="72"/>
          <w:szCs w:val="72"/>
        </w:rPr>
      </w:pPr>
      <w:r>
        <w:rPr>
          <w:rFonts w:hint="eastAsia" w:ascii="宋体" w:hAnsi="宋体" w:eastAsia="宋体" w:cs="宋体"/>
          <w:b/>
          <w:color w:val="auto"/>
          <w:sz w:val="72"/>
          <w:szCs w:val="72"/>
        </w:rPr>
        <w:t>合</w:t>
      </w:r>
    </w:p>
    <w:p w14:paraId="531A5B05">
      <w:pPr>
        <w:jc w:val="center"/>
        <w:rPr>
          <w:rFonts w:hint="eastAsia" w:ascii="宋体" w:hAnsi="宋体" w:eastAsia="宋体" w:cs="宋体"/>
          <w:b/>
          <w:color w:val="auto"/>
          <w:sz w:val="72"/>
          <w:szCs w:val="72"/>
        </w:rPr>
      </w:pPr>
    </w:p>
    <w:p w14:paraId="77A2D948">
      <w:pPr>
        <w:jc w:val="center"/>
        <w:rPr>
          <w:rFonts w:hint="eastAsia" w:ascii="宋体" w:hAnsi="宋体" w:eastAsia="宋体" w:cs="宋体"/>
          <w:b/>
          <w:color w:val="auto"/>
          <w:sz w:val="72"/>
          <w:szCs w:val="72"/>
        </w:rPr>
      </w:pPr>
      <w:r>
        <w:rPr>
          <w:rFonts w:hint="eastAsia" w:ascii="宋体" w:hAnsi="宋体" w:eastAsia="宋体" w:cs="宋体"/>
          <w:b/>
          <w:color w:val="auto"/>
          <w:sz w:val="72"/>
          <w:szCs w:val="72"/>
        </w:rPr>
        <w:t>同</w:t>
      </w:r>
    </w:p>
    <w:p w14:paraId="763DCFFD">
      <w:pPr>
        <w:jc w:val="center"/>
        <w:rPr>
          <w:rFonts w:hint="eastAsia" w:ascii="宋体" w:hAnsi="宋体" w:eastAsia="宋体" w:cs="宋体"/>
          <w:b/>
          <w:color w:val="auto"/>
          <w:sz w:val="72"/>
          <w:szCs w:val="72"/>
        </w:rPr>
      </w:pPr>
    </w:p>
    <w:p w14:paraId="274F641D">
      <w:pPr>
        <w:jc w:val="center"/>
        <w:rPr>
          <w:rFonts w:hint="eastAsia" w:ascii="宋体" w:hAnsi="宋体" w:eastAsia="宋体" w:cs="宋体"/>
          <w:b/>
          <w:color w:val="auto"/>
          <w:sz w:val="72"/>
          <w:szCs w:val="72"/>
        </w:rPr>
      </w:pPr>
      <w:r>
        <w:rPr>
          <w:rFonts w:hint="eastAsia" w:ascii="宋体" w:hAnsi="宋体" w:eastAsia="宋体" w:cs="宋体"/>
          <w:b/>
          <w:color w:val="auto"/>
          <w:sz w:val="72"/>
          <w:szCs w:val="72"/>
        </w:rPr>
        <w:t>书</w:t>
      </w:r>
    </w:p>
    <w:p w14:paraId="658CB7F4">
      <w:pPr>
        <w:pStyle w:val="2"/>
        <w:rPr>
          <w:rFonts w:hint="eastAsia" w:ascii="宋体" w:hAnsi="宋体" w:eastAsia="宋体" w:cs="宋体"/>
          <w:b/>
          <w:color w:val="auto"/>
          <w:sz w:val="72"/>
          <w:szCs w:val="72"/>
        </w:rPr>
      </w:pPr>
    </w:p>
    <w:p w14:paraId="09A11335">
      <w:pPr>
        <w:rPr>
          <w:rFonts w:hint="eastAsia" w:ascii="宋体" w:hAnsi="宋体" w:eastAsia="宋体" w:cs="宋体"/>
          <w:b/>
          <w:color w:val="auto"/>
          <w:sz w:val="28"/>
          <w:szCs w:val="28"/>
        </w:rPr>
      </w:pPr>
    </w:p>
    <w:p w14:paraId="71C24537">
      <w:pPr>
        <w:pStyle w:val="2"/>
        <w:rPr>
          <w:rFonts w:hint="eastAsia" w:ascii="宋体" w:hAnsi="宋体" w:eastAsia="宋体" w:cs="宋体"/>
          <w:b/>
          <w:color w:val="auto"/>
          <w:sz w:val="28"/>
          <w:szCs w:val="28"/>
        </w:rPr>
      </w:pPr>
    </w:p>
    <w:p w14:paraId="54FFC8BF">
      <w:pPr>
        <w:pStyle w:val="2"/>
        <w:rPr>
          <w:rFonts w:hint="eastAsia" w:ascii="宋体" w:hAnsi="宋体" w:eastAsia="宋体" w:cs="宋体"/>
          <w:b/>
          <w:color w:val="auto"/>
          <w:sz w:val="28"/>
          <w:szCs w:val="28"/>
        </w:rPr>
      </w:pPr>
    </w:p>
    <w:p w14:paraId="676F3F57">
      <w:pPr>
        <w:pStyle w:val="2"/>
        <w:rPr>
          <w:rFonts w:hint="eastAsia" w:ascii="宋体" w:hAnsi="宋体" w:eastAsia="宋体" w:cs="宋体"/>
          <w:b/>
          <w:color w:val="auto"/>
          <w:sz w:val="28"/>
          <w:szCs w:val="28"/>
        </w:rPr>
      </w:pPr>
    </w:p>
    <w:tbl>
      <w:tblPr>
        <w:tblStyle w:val="6"/>
        <w:tblW w:w="0" w:type="auto"/>
        <w:jc w:val="center"/>
        <w:tblLayout w:type="fixed"/>
        <w:tblCellMar>
          <w:top w:w="0" w:type="dxa"/>
          <w:left w:w="108" w:type="dxa"/>
          <w:bottom w:w="0" w:type="dxa"/>
          <w:right w:w="108" w:type="dxa"/>
        </w:tblCellMar>
      </w:tblPr>
      <w:tblGrid>
        <w:gridCol w:w="5398"/>
      </w:tblGrid>
      <w:tr w14:paraId="51909D63">
        <w:tblPrEx>
          <w:tblCellMar>
            <w:top w:w="0" w:type="dxa"/>
            <w:left w:w="108" w:type="dxa"/>
            <w:bottom w:w="0" w:type="dxa"/>
            <w:right w:w="108" w:type="dxa"/>
          </w:tblCellMar>
        </w:tblPrEx>
        <w:trPr>
          <w:trHeight w:val="499" w:hRule="atLeast"/>
          <w:jc w:val="center"/>
        </w:trPr>
        <w:tc>
          <w:tcPr>
            <w:tcW w:w="5398" w:type="dxa"/>
            <w:noWrap w:val="0"/>
            <w:vAlign w:val="top"/>
          </w:tcPr>
          <w:p w14:paraId="4E072EB9">
            <w:pPr>
              <w:jc w:val="left"/>
              <w:rPr>
                <w:rFonts w:hint="eastAsia" w:ascii="宋体" w:hAnsi="宋体" w:eastAsia="宋体" w:cs="宋体"/>
                <w:b/>
                <w:color w:val="auto"/>
                <w:sz w:val="28"/>
                <w:szCs w:val="28"/>
              </w:rPr>
            </w:pPr>
            <w:r>
              <w:rPr>
                <w:rFonts w:hint="eastAsia" w:ascii="宋体" w:hAnsi="宋体" w:eastAsia="宋体" w:cs="宋体"/>
                <w:b/>
                <w:color w:val="auto"/>
                <w:sz w:val="28"/>
                <w:szCs w:val="28"/>
              </w:rPr>
              <w:t>甲方：</w:t>
            </w:r>
            <w:r>
              <w:rPr>
                <w:rFonts w:hint="eastAsia" w:ascii="宋体" w:hAnsi="宋体" w:eastAsia="宋体" w:cs="宋体"/>
                <w:b/>
                <w:color w:val="auto"/>
                <w:sz w:val="28"/>
                <w:szCs w:val="28"/>
                <w:lang w:val="en-US" w:eastAsia="zh-CN"/>
              </w:rPr>
              <w:t>渭南市商务局</w:t>
            </w:r>
          </w:p>
        </w:tc>
      </w:tr>
      <w:tr w14:paraId="1EE8C7AE">
        <w:tblPrEx>
          <w:tblCellMar>
            <w:top w:w="0" w:type="dxa"/>
            <w:left w:w="108" w:type="dxa"/>
            <w:bottom w:w="0" w:type="dxa"/>
            <w:right w:w="108" w:type="dxa"/>
          </w:tblCellMar>
        </w:tblPrEx>
        <w:trPr>
          <w:trHeight w:val="499" w:hRule="atLeast"/>
          <w:jc w:val="center"/>
        </w:trPr>
        <w:tc>
          <w:tcPr>
            <w:tcW w:w="5398" w:type="dxa"/>
            <w:noWrap w:val="0"/>
            <w:vAlign w:val="top"/>
          </w:tcPr>
          <w:p w14:paraId="11459F62">
            <w:pPr>
              <w:jc w:val="left"/>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乙方： </w:t>
            </w:r>
          </w:p>
        </w:tc>
      </w:tr>
      <w:tr w14:paraId="10D4D92D">
        <w:tblPrEx>
          <w:tblCellMar>
            <w:top w:w="0" w:type="dxa"/>
            <w:left w:w="108" w:type="dxa"/>
            <w:bottom w:w="0" w:type="dxa"/>
            <w:right w:w="108" w:type="dxa"/>
          </w:tblCellMar>
        </w:tblPrEx>
        <w:trPr>
          <w:trHeight w:val="998" w:hRule="atLeast"/>
          <w:jc w:val="center"/>
        </w:trPr>
        <w:tc>
          <w:tcPr>
            <w:tcW w:w="5398" w:type="dxa"/>
            <w:noWrap w:val="0"/>
            <w:vAlign w:val="top"/>
          </w:tcPr>
          <w:p w14:paraId="69C3D105">
            <w:pPr>
              <w:jc w:val="left"/>
              <w:rPr>
                <w:rFonts w:hint="eastAsia" w:ascii="宋体" w:hAnsi="宋体" w:eastAsia="宋体" w:cs="宋体"/>
                <w:b/>
                <w:color w:val="auto"/>
                <w:sz w:val="28"/>
                <w:szCs w:val="28"/>
              </w:rPr>
            </w:pPr>
            <w:r>
              <w:rPr>
                <w:rFonts w:hint="eastAsia" w:ascii="宋体" w:hAnsi="宋体" w:eastAsia="宋体" w:cs="宋体"/>
                <w:b/>
                <w:color w:val="auto"/>
                <w:sz w:val="28"/>
                <w:szCs w:val="28"/>
              </w:rPr>
              <w:t>日期：二</w:t>
            </w:r>
            <w:r>
              <w:rPr>
                <w:rFonts w:hint="eastAsia" w:ascii="宋体" w:hAnsi="宋体" w:eastAsia="宋体" w:cs="宋体"/>
                <w:b/>
                <w:color w:val="auto"/>
                <w:sz w:val="28"/>
                <w:szCs w:val="28"/>
                <w:lang w:eastAsia="zh-CN"/>
              </w:rPr>
              <w:t>〇</w:t>
            </w:r>
            <w:r>
              <w:rPr>
                <w:rFonts w:hint="eastAsia" w:ascii="宋体" w:hAnsi="宋体" w:eastAsia="宋体" w:cs="宋体"/>
                <w:b/>
                <w:color w:val="auto"/>
                <w:sz w:val="28"/>
                <w:szCs w:val="28"/>
                <w:lang w:val="zh-CN" w:eastAsia="zh-CN"/>
              </w:rPr>
              <w:t>二</w:t>
            </w:r>
            <w:r>
              <w:rPr>
                <w:rFonts w:hint="eastAsia" w:ascii="宋体" w:hAnsi="宋体" w:eastAsia="宋体" w:cs="宋体"/>
                <w:b/>
                <w:color w:val="auto"/>
                <w:sz w:val="28"/>
                <w:szCs w:val="28"/>
                <w:lang w:val="en-US" w:eastAsia="zh-CN"/>
              </w:rPr>
              <w:t>五</w:t>
            </w:r>
            <w:r>
              <w:rPr>
                <w:rFonts w:hint="eastAsia" w:ascii="宋体" w:hAnsi="宋体" w:eastAsia="宋体" w:cs="宋体"/>
                <w:b/>
                <w:color w:val="auto"/>
                <w:sz w:val="28"/>
                <w:szCs w:val="28"/>
                <w:lang w:val="zh-CN" w:eastAsia="zh-CN"/>
              </w:rPr>
              <w:t>年</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lang w:val="zh-CN" w:eastAsia="zh-CN"/>
              </w:rPr>
              <w:t>月</w:t>
            </w:r>
          </w:p>
        </w:tc>
      </w:tr>
    </w:tbl>
    <w:p w14:paraId="281183E5">
      <w:pPr>
        <w:spacing w:line="560" w:lineRule="exact"/>
        <w:ind w:firstLine="4337" w:firstLineChars="1800"/>
        <w:jc w:val="both"/>
        <w:rPr>
          <w:rFonts w:hint="eastAsia" w:ascii="宋体" w:hAnsi="宋体" w:eastAsia="宋体" w:cs="宋体"/>
          <w:b/>
          <w:bCs/>
          <w:color w:val="auto"/>
          <w:sz w:val="24"/>
          <w:szCs w:val="24"/>
        </w:rPr>
      </w:pPr>
    </w:p>
    <w:p w14:paraId="0369D8A5">
      <w:pPr>
        <w:keepNext w:val="0"/>
        <w:keepLines w:val="0"/>
        <w:pageBreakBefore w:val="0"/>
        <w:kinsoku/>
        <w:wordWrap/>
        <w:overflowPunct/>
        <w:topLinePunct w:val="0"/>
        <w:autoSpaceDE/>
        <w:autoSpaceDN/>
        <w:bidi w:val="0"/>
        <w:adjustRightInd/>
        <w:snapToGrid/>
        <w:spacing w:line="360" w:lineRule="auto"/>
        <w:ind w:firstLine="4337" w:firstLineChars="1800"/>
        <w:jc w:val="both"/>
        <w:textAlignment w:val="auto"/>
        <w:rPr>
          <w:rFonts w:hint="eastAsia" w:ascii="宋体" w:hAnsi="宋体" w:eastAsia="宋体" w:cs="宋体"/>
          <w:b/>
          <w:bCs/>
          <w:color w:val="auto"/>
          <w:sz w:val="24"/>
          <w:szCs w:val="24"/>
        </w:rPr>
      </w:pPr>
      <w:bookmarkStart w:id="0" w:name="_GoBack"/>
      <w:bookmarkEnd w:id="0"/>
      <w:r>
        <w:rPr>
          <w:rFonts w:hint="eastAsia" w:ascii="宋体" w:hAnsi="宋体" w:eastAsia="宋体" w:cs="宋体"/>
          <w:b/>
          <w:bCs/>
          <w:color w:val="auto"/>
          <w:sz w:val="24"/>
          <w:szCs w:val="24"/>
        </w:rPr>
        <w:t>合同范本</w:t>
      </w:r>
    </w:p>
    <w:p w14:paraId="5997CDB0">
      <w:pPr>
        <w:pStyle w:val="2"/>
        <w:keepNext w:val="0"/>
        <w:keepLines w:val="0"/>
        <w:pageBreakBefore w:val="0"/>
        <w:kinsoku/>
        <w:wordWrap/>
        <w:overflowPunct/>
        <w:topLinePunct w:val="0"/>
        <w:autoSpaceDE/>
        <w:autoSpaceDN/>
        <w:bidi w:val="0"/>
        <w:adjustRightInd/>
        <w:snapToGrid/>
        <w:spacing w:line="360" w:lineRule="auto"/>
        <w:textAlignment w:val="auto"/>
        <w:rPr>
          <w:rFonts w:hint="eastAsia"/>
        </w:rPr>
      </w:pPr>
    </w:p>
    <w:p w14:paraId="2487F9E9">
      <w:pPr>
        <w:keepNext w:val="0"/>
        <w:keepLines w:val="0"/>
        <w:pageBreakBefore w:val="0"/>
        <w:kinsoku/>
        <w:wordWrap/>
        <w:overflowPunct/>
        <w:topLinePunct w:val="0"/>
        <w:autoSpaceDE/>
        <w:autoSpaceDN/>
        <w:bidi w:val="0"/>
        <w:adjustRightInd/>
        <w:snapToGrid/>
        <w:spacing w:before="47" w:line="360" w:lineRule="auto"/>
        <w:textAlignment w:val="auto"/>
        <w:rPr>
          <w:rFonts w:hint="eastAsia" w:ascii="宋体" w:hAnsi="宋体" w:eastAsia="宋体" w:cs="宋体"/>
          <w:color w:val="auto"/>
          <w:sz w:val="24"/>
          <w:szCs w:val="24"/>
        </w:rPr>
      </w:pPr>
      <w:r>
        <w:rPr>
          <w:rFonts w:hint="eastAsia" w:ascii="宋体" w:hAnsi="宋体" w:eastAsia="宋体" w:cs="宋体"/>
          <w:color w:val="auto"/>
          <w:spacing w:val="-13"/>
          <w:sz w:val="24"/>
          <w:szCs w:val="24"/>
        </w:rPr>
        <w:t>委托单位：</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2"/>
          <w:sz w:val="24"/>
          <w:szCs w:val="24"/>
          <w:u w:val="single" w:color="auto"/>
        </w:rPr>
        <w:t xml:space="preserve">                       </w:t>
      </w:r>
      <w:r>
        <w:rPr>
          <w:rFonts w:hint="eastAsia" w:ascii="宋体" w:hAnsi="宋体" w:eastAsia="宋体" w:cs="宋体"/>
          <w:color w:val="auto"/>
          <w:spacing w:val="-38"/>
          <w:sz w:val="24"/>
          <w:szCs w:val="24"/>
        </w:rPr>
        <w:t xml:space="preserve"> </w:t>
      </w:r>
      <w:r>
        <w:rPr>
          <w:rFonts w:hint="eastAsia" w:ascii="宋体" w:hAnsi="宋体" w:eastAsia="宋体" w:cs="宋体"/>
          <w:color w:val="auto"/>
          <w:spacing w:val="-13"/>
          <w:sz w:val="24"/>
          <w:szCs w:val="24"/>
        </w:rPr>
        <w:t>(以下称甲方)</w:t>
      </w:r>
    </w:p>
    <w:p w14:paraId="0C184CED">
      <w:pPr>
        <w:keepNext w:val="0"/>
        <w:keepLines w:val="0"/>
        <w:pageBreakBefore w:val="0"/>
        <w:kinsoku/>
        <w:wordWrap/>
        <w:overflowPunct/>
        <w:topLinePunct w:val="0"/>
        <w:autoSpaceDE/>
        <w:autoSpaceDN/>
        <w:bidi w:val="0"/>
        <w:adjustRightInd/>
        <w:snapToGrid/>
        <w:spacing w:before="1" w:line="360" w:lineRule="auto"/>
        <w:textAlignment w:val="auto"/>
        <w:rPr>
          <w:rFonts w:hint="eastAsia" w:ascii="宋体" w:hAnsi="宋体" w:eastAsia="宋体" w:cs="宋体"/>
          <w:color w:val="auto"/>
          <w:spacing w:val="5"/>
          <w:position w:val="2"/>
          <w:sz w:val="24"/>
          <w:szCs w:val="24"/>
        </w:rPr>
      </w:pPr>
      <w:r>
        <w:rPr>
          <w:rFonts w:hint="eastAsia" w:ascii="宋体" w:hAnsi="宋体" w:eastAsia="宋体" w:cs="宋体"/>
          <w:color w:val="auto"/>
          <w:spacing w:val="5"/>
          <w:sz w:val="24"/>
          <w:szCs w:val="24"/>
        </w:rPr>
        <w:t>受托单位：</w:t>
      </w:r>
      <w:r>
        <w:rPr>
          <w:rFonts w:hint="eastAsia" w:ascii="宋体" w:hAnsi="宋体" w:eastAsia="宋体" w:cs="宋体"/>
          <w:color w:val="auto"/>
          <w:spacing w:val="5"/>
          <w:sz w:val="24"/>
          <w:szCs w:val="24"/>
          <w:u w:val="single"/>
        </w:rPr>
        <w:t xml:space="preserve"> </w:t>
      </w:r>
      <w:r>
        <w:rPr>
          <w:rFonts w:hint="eastAsia" w:ascii="宋体" w:hAnsi="宋体" w:eastAsia="宋体" w:cs="宋体"/>
          <w:color w:val="auto"/>
          <w:spacing w:val="5"/>
          <w:sz w:val="24"/>
          <w:szCs w:val="24"/>
          <w:u w:val="single"/>
          <w:lang w:val="en-US" w:eastAsia="zh-CN"/>
        </w:rPr>
        <w:t xml:space="preserve">                    </w:t>
      </w:r>
      <w:r>
        <w:rPr>
          <w:rFonts w:hint="eastAsia" w:ascii="宋体" w:hAnsi="宋体" w:eastAsia="宋体" w:cs="宋体"/>
          <w:color w:val="auto"/>
          <w:spacing w:val="5"/>
          <w:sz w:val="24"/>
          <w:szCs w:val="24"/>
          <w:u w:val="single"/>
        </w:rPr>
        <w:t xml:space="preserve"> </w:t>
      </w:r>
      <w:r>
        <w:rPr>
          <w:rFonts w:hint="eastAsia" w:ascii="宋体" w:hAnsi="宋体" w:eastAsia="宋体" w:cs="宋体"/>
          <w:color w:val="auto"/>
          <w:spacing w:val="5"/>
          <w:position w:val="2"/>
          <w:sz w:val="24"/>
          <w:szCs w:val="24"/>
        </w:rPr>
        <w:t>(以下称乙方)</w:t>
      </w:r>
    </w:p>
    <w:p w14:paraId="0FD8F8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根据渭南市2024-2025年度冬春蔬菜储备服务采购项目的采购结果:按照《中华人民共和国政府采购法》及相关的规定，经双方协商，本着平等互利和诚实信用的原则，一致同意签订本合同如下，</w:t>
      </w:r>
    </w:p>
    <w:p w14:paraId="1DCA36C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第一条</w:t>
      </w:r>
      <w:r>
        <w:rPr>
          <w:rFonts w:hint="eastAsia" w:ascii="宋体" w:hAnsi="宋体" w:eastAsia="宋体" w:cs="宋体"/>
          <w:color w:val="auto"/>
          <w:kern w:val="0"/>
          <w:sz w:val="24"/>
          <w:szCs w:val="24"/>
          <w:highlight w:val="none"/>
          <w:lang w:val="en-US" w:eastAsia="zh-CN" w:bidi="ar"/>
        </w:rPr>
        <w:t>本合同所称冬春储备蔬菜，是指市政府用于应对重大自然灾害、公共卫生事件或其他突发事件引发市场异常波动和市场调控而储备的蔬菜。按照“政府补助、企业运作、价格合理、确保供应”的原则和调控市场、平抑物价的要求，委托承储企业(乙方)储备蔬菜，政府给予适当补贴。储备期内，承储企业不得擅自动用储备蔬菜。需要投放时</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承储企业按照要求，在指定的投放点进行投放销售。储备期满后，储备蔬菜由承储企业自行销售、自负盈亏。</w:t>
      </w:r>
    </w:p>
    <w:p w14:paraId="5043BAF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第二条</w:t>
      </w:r>
      <w:r>
        <w:rPr>
          <w:rFonts w:hint="eastAsia" w:ascii="宋体" w:hAnsi="宋体" w:eastAsia="宋体" w:cs="宋体"/>
          <w:color w:val="auto"/>
          <w:kern w:val="0"/>
          <w:sz w:val="24"/>
          <w:szCs w:val="24"/>
          <w:highlight w:val="none"/>
          <w:lang w:val="en-US" w:eastAsia="zh-CN" w:bidi="ar"/>
        </w:rPr>
        <w:t>承储企业承担的市政府储备蔬菜验收挂牌确认后，具有唯一性，乙方不得将储备蔬菜多头上报。</w:t>
      </w:r>
    </w:p>
    <w:p w14:paraId="2A6FA85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vertAlign w:val="baseline"/>
          <w:lang w:val="en-US" w:eastAsia="zh-CN" w:bidi="ar"/>
        </w:rPr>
      </w:pPr>
      <w:r>
        <w:rPr>
          <w:rFonts w:hint="eastAsia" w:ascii="宋体" w:hAnsi="宋体" w:eastAsia="宋体" w:cs="宋体"/>
          <w:b/>
          <w:bCs/>
          <w:color w:val="auto"/>
          <w:kern w:val="0"/>
          <w:sz w:val="24"/>
          <w:szCs w:val="24"/>
          <w:highlight w:val="none"/>
          <w:lang w:val="en-US" w:eastAsia="zh-CN" w:bidi="ar"/>
        </w:rPr>
        <w:t>第三条</w:t>
      </w:r>
      <w:r>
        <w:rPr>
          <w:rFonts w:hint="eastAsia" w:ascii="宋体" w:hAnsi="宋体" w:eastAsia="宋体" w:cs="宋体"/>
          <w:color w:val="auto"/>
          <w:kern w:val="0"/>
          <w:sz w:val="24"/>
          <w:szCs w:val="24"/>
          <w:highlight w:val="none"/>
          <w:lang w:val="en-US" w:eastAsia="zh-CN" w:bidi="ar"/>
        </w:rPr>
        <w:t>储备品种、地点、数量及时间(见下表)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420"/>
        <w:gridCol w:w="1420"/>
        <w:gridCol w:w="1420"/>
        <w:gridCol w:w="1420"/>
        <w:gridCol w:w="1421"/>
        <w:gridCol w:w="1421"/>
      </w:tblGrid>
      <w:tr w14:paraId="77BDE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vAlign w:val="center"/>
          </w:tcPr>
          <w:p w14:paraId="7A47A6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kern w:val="0"/>
                <w:sz w:val="24"/>
                <w:szCs w:val="24"/>
                <w:highlight w:val="none"/>
                <w:vertAlign w:val="baseline"/>
                <w:lang w:val="en-US" w:eastAsia="zh-CN" w:bidi="ar"/>
              </w:rPr>
            </w:pPr>
            <w:r>
              <w:rPr>
                <w:rFonts w:hint="eastAsia" w:ascii="宋体" w:hAnsi="宋体" w:cs="宋体"/>
                <w:color w:val="auto"/>
                <w:kern w:val="0"/>
                <w:sz w:val="24"/>
                <w:szCs w:val="24"/>
                <w:highlight w:val="none"/>
                <w:vertAlign w:val="baseline"/>
                <w:lang w:val="en-US" w:eastAsia="zh-CN" w:bidi="ar"/>
              </w:rPr>
              <w:t>序号</w:t>
            </w:r>
          </w:p>
        </w:tc>
        <w:tc>
          <w:tcPr>
            <w:tcW w:w="1420" w:type="dxa"/>
            <w:vAlign w:val="center"/>
          </w:tcPr>
          <w:p w14:paraId="4B6D9A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kern w:val="0"/>
                <w:sz w:val="24"/>
                <w:szCs w:val="24"/>
                <w:highlight w:val="none"/>
                <w:vertAlign w:val="baseline"/>
                <w:lang w:val="en-US" w:eastAsia="zh-CN" w:bidi="ar"/>
              </w:rPr>
            </w:pPr>
            <w:r>
              <w:rPr>
                <w:rFonts w:hint="eastAsia" w:ascii="宋体" w:hAnsi="宋体" w:cs="宋体"/>
                <w:color w:val="auto"/>
                <w:kern w:val="0"/>
                <w:sz w:val="24"/>
                <w:szCs w:val="24"/>
                <w:highlight w:val="none"/>
                <w:vertAlign w:val="baseline"/>
                <w:lang w:val="en-US" w:eastAsia="zh-CN" w:bidi="ar"/>
              </w:rPr>
              <w:t>品种</w:t>
            </w:r>
          </w:p>
        </w:tc>
        <w:tc>
          <w:tcPr>
            <w:tcW w:w="1420" w:type="dxa"/>
            <w:vAlign w:val="center"/>
          </w:tcPr>
          <w:p w14:paraId="74B8F26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kern w:val="0"/>
                <w:sz w:val="24"/>
                <w:szCs w:val="24"/>
                <w:highlight w:val="none"/>
                <w:vertAlign w:val="baseline"/>
                <w:lang w:val="en-US" w:eastAsia="zh-CN" w:bidi="ar"/>
              </w:rPr>
            </w:pPr>
            <w:r>
              <w:rPr>
                <w:rFonts w:hint="eastAsia" w:ascii="宋体" w:hAnsi="宋体" w:cs="宋体"/>
                <w:color w:val="auto"/>
                <w:kern w:val="0"/>
                <w:sz w:val="24"/>
                <w:szCs w:val="24"/>
                <w:highlight w:val="none"/>
                <w:vertAlign w:val="baseline"/>
                <w:lang w:val="en-US" w:eastAsia="zh-CN" w:bidi="ar"/>
              </w:rPr>
              <w:t>储备地点</w:t>
            </w:r>
          </w:p>
        </w:tc>
        <w:tc>
          <w:tcPr>
            <w:tcW w:w="1420" w:type="dxa"/>
            <w:vAlign w:val="center"/>
          </w:tcPr>
          <w:p w14:paraId="1EC609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kern w:val="0"/>
                <w:sz w:val="24"/>
                <w:szCs w:val="24"/>
                <w:highlight w:val="none"/>
                <w:vertAlign w:val="baseline"/>
                <w:lang w:val="en-US" w:eastAsia="zh-CN" w:bidi="ar"/>
              </w:rPr>
            </w:pPr>
            <w:r>
              <w:rPr>
                <w:rFonts w:hint="eastAsia" w:ascii="宋体" w:hAnsi="宋体" w:cs="宋体"/>
                <w:color w:val="auto"/>
                <w:kern w:val="0"/>
                <w:sz w:val="24"/>
                <w:szCs w:val="24"/>
                <w:highlight w:val="none"/>
                <w:vertAlign w:val="baseline"/>
                <w:lang w:val="en-US" w:eastAsia="zh-CN" w:bidi="ar"/>
              </w:rPr>
              <w:t>储备库编号</w:t>
            </w:r>
          </w:p>
        </w:tc>
        <w:tc>
          <w:tcPr>
            <w:tcW w:w="1421" w:type="dxa"/>
            <w:vAlign w:val="center"/>
          </w:tcPr>
          <w:p w14:paraId="3AE97DC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kern w:val="0"/>
                <w:sz w:val="24"/>
                <w:szCs w:val="24"/>
                <w:highlight w:val="none"/>
                <w:vertAlign w:val="baseline"/>
                <w:lang w:val="en-US" w:eastAsia="zh-CN" w:bidi="ar"/>
              </w:rPr>
            </w:pPr>
            <w:r>
              <w:rPr>
                <w:rFonts w:hint="eastAsia" w:ascii="宋体" w:hAnsi="宋体" w:cs="宋体"/>
                <w:color w:val="auto"/>
                <w:kern w:val="0"/>
                <w:sz w:val="24"/>
                <w:szCs w:val="24"/>
                <w:highlight w:val="none"/>
                <w:vertAlign w:val="baseline"/>
                <w:lang w:val="en-US" w:eastAsia="zh-CN" w:bidi="ar"/>
              </w:rPr>
              <w:t>储备数量</w:t>
            </w:r>
          </w:p>
        </w:tc>
        <w:tc>
          <w:tcPr>
            <w:tcW w:w="1421" w:type="dxa"/>
            <w:vAlign w:val="center"/>
          </w:tcPr>
          <w:p w14:paraId="20BFCD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kern w:val="0"/>
                <w:sz w:val="24"/>
                <w:szCs w:val="24"/>
                <w:highlight w:val="none"/>
                <w:vertAlign w:val="baseline"/>
                <w:lang w:val="en-US" w:eastAsia="zh-CN" w:bidi="ar"/>
              </w:rPr>
            </w:pPr>
            <w:r>
              <w:rPr>
                <w:rFonts w:hint="eastAsia" w:ascii="宋体" w:hAnsi="宋体" w:cs="宋体"/>
                <w:color w:val="auto"/>
                <w:kern w:val="0"/>
                <w:sz w:val="24"/>
                <w:szCs w:val="24"/>
                <w:highlight w:val="none"/>
                <w:vertAlign w:val="baseline"/>
                <w:lang w:val="en-US" w:eastAsia="zh-CN" w:bidi="ar"/>
              </w:rPr>
              <w:t>备注</w:t>
            </w:r>
          </w:p>
        </w:tc>
      </w:tr>
      <w:tr w14:paraId="1C8B7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14:paraId="4A655F9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3EFBDC4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5894AA7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1DA7E39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193174A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22EC43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r>
      <w:tr w14:paraId="556A3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14:paraId="6AFB845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6E4CD19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635BE1C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3084354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3CC0340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414E938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r>
      <w:tr w14:paraId="693E9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14:paraId="6D60BF6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286E08D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7F7FC0D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732819B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17922D8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688A18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r>
      <w:tr w14:paraId="3F0BA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14:paraId="5FA7834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5C49DFD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7D7CA75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4CEE5EB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017B9CA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490CBAD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r>
      <w:tr w14:paraId="06D03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14:paraId="5547D47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0B1038F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535063C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0" w:type="dxa"/>
          </w:tcPr>
          <w:p w14:paraId="39AFB64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62ACF5B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c>
          <w:tcPr>
            <w:tcW w:w="1421" w:type="dxa"/>
          </w:tcPr>
          <w:p w14:paraId="78BB465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highlight w:val="none"/>
                <w:vertAlign w:val="baseline"/>
                <w:lang w:val="en-US" w:eastAsia="zh-CN" w:bidi="ar"/>
              </w:rPr>
            </w:pPr>
          </w:p>
        </w:tc>
      </w:tr>
    </w:tbl>
    <w:p w14:paraId="0366141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储备时间:</w:t>
      </w:r>
      <w:r>
        <w:rPr>
          <w:rFonts w:hint="eastAsia" w:ascii="宋体" w:hAnsi="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年</w:t>
      </w:r>
      <w:r>
        <w:rPr>
          <w:rFonts w:hint="eastAsia" w:ascii="宋体" w:hAnsi="宋体" w:cs="宋体"/>
          <w:color w:val="auto"/>
          <w:kern w:val="0"/>
          <w:sz w:val="24"/>
          <w:szCs w:val="24"/>
          <w:highlight w:val="none"/>
          <w:u w:val="single"/>
          <w:lang w:val="en-US" w:eastAsia="zh-CN" w:bidi="ar"/>
        </w:rPr>
        <w:t xml:space="preserve">     </w:t>
      </w:r>
      <w:r>
        <w:rPr>
          <w:rFonts w:hint="eastAsia" w:ascii="宋体" w:hAnsi="宋体" w:cs="宋体"/>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月</w:t>
      </w:r>
      <w:r>
        <w:rPr>
          <w:rFonts w:hint="eastAsia" w:ascii="宋体" w:hAnsi="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宋体" w:hAnsi="宋体" w:cs="宋体"/>
          <w:color w:val="auto"/>
          <w:kern w:val="0"/>
          <w:sz w:val="24"/>
          <w:szCs w:val="24"/>
          <w:highlight w:val="none"/>
          <w:lang w:val="en-US" w:eastAsia="zh-CN" w:bidi="ar"/>
        </w:rPr>
        <w:t>—</w:t>
      </w:r>
      <w:r>
        <w:rPr>
          <w:rFonts w:hint="eastAsia" w:ascii="宋体" w:hAnsi="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年</w:t>
      </w:r>
      <w:r>
        <w:rPr>
          <w:rFonts w:hint="eastAsia" w:ascii="宋体" w:hAnsi="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月</w:t>
      </w:r>
      <w:r>
        <w:rPr>
          <w:rFonts w:hint="eastAsia" w:ascii="宋体" w:hAnsi="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日，共计</w:t>
      </w:r>
      <w:r>
        <w:rPr>
          <w:rFonts w:hint="eastAsia" w:ascii="宋体" w:hAnsi="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天。期间若不发生蔬菜供应异常波动，到期解禁，储备结束，若发生，按照市政府指令随时组织投放。整个储备期内，若发生灾害性天气、突发公共事件等引起蔬菜市场供应异常波动，则按照市政府指令随时组织投放。</w:t>
      </w:r>
    </w:p>
    <w:p w14:paraId="5A5DE67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第四条</w:t>
      </w:r>
      <w:r>
        <w:rPr>
          <w:rFonts w:hint="eastAsia" w:ascii="宋体" w:hAnsi="宋体" w:eastAsia="宋体" w:cs="宋体"/>
          <w:color w:val="auto"/>
          <w:kern w:val="0"/>
          <w:sz w:val="24"/>
          <w:szCs w:val="24"/>
          <w:highlight w:val="none"/>
          <w:lang w:val="en-US" w:eastAsia="zh-CN" w:bidi="ar"/>
        </w:rPr>
        <w:t>乙方按本合同规定的储备任务，在合同签定之日起5日内，完成储备蔬菜的入库工作，并逐笔登记入库情况，同时在入库完成后填报《渭南市冬春储备蔬菜入库汇总表》报甲方备案。储备蔬菜必须经农业部门认定的有资质的农产品质量检测单位检测合格后方可入库。</w:t>
      </w:r>
    </w:p>
    <w:p w14:paraId="7A6685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经甲方确认，乙方在服务期间服务良好，无重大过错，达到甲方要求，服务期满后，同等条件下，甲方可优先选择与乙方续签</w:t>
      </w:r>
      <w:r>
        <w:rPr>
          <w:rFonts w:hint="eastAsia" w:ascii="宋体" w:hAnsi="宋体" w:cs="宋体"/>
          <w:color w:val="auto"/>
          <w:kern w:val="0"/>
          <w:sz w:val="24"/>
          <w:szCs w:val="24"/>
          <w:highlight w:val="none"/>
          <w:lang w:val="en-US" w:eastAsia="zh-CN" w:bidi="ar"/>
        </w:rPr>
        <w:t>。</w:t>
      </w:r>
    </w:p>
    <w:p w14:paraId="4744729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第五条</w:t>
      </w:r>
      <w:r>
        <w:rPr>
          <w:rFonts w:hint="eastAsia" w:ascii="宋体" w:hAnsi="宋体" w:eastAsia="宋体" w:cs="宋体"/>
          <w:color w:val="auto"/>
          <w:kern w:val="0"/>
          <w:sz w:val="24"/>
          <w:szCs w:val="24"/>
          <w:highlight w:val="none"/>
          <w:lang w:val="en-US" w:eastAsia="zh-CN" w:bidi="ar"/>
        </w:rPr>
        <w:t>乙方不得随意调整或拖延、拒绝执行合同。储备蔬菜入库后由市商务局对储备蔬菜的品种、数量、质量等进行验收。</w:t>
      </w:r>
    </w:p>
    <w:p w14:paraId="704929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合格后由验收小组成员单位分别在《渭南冬春蔬菜储备入库验收单》上签字确认。验收不合格的，取消承储企业资质。</w:t>
      </w:r>
    </w:p>
    <w:p w14:paraId="3A90EC5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第六条</w:t>
      </w:r>
      <w:r>
        <w:rPr>
          <w:rFonts w:hint="eastAsia" w:ascii="宋体" w:hAnsi="宋体" w:eastAsia="宋体" w:cs="宋体"/>
          <w:color w:val="auto"/>
          <w:kern w:val="0"/>
          <w:sz w:val="24"/>
          <w:szCs w:val="24"/>
          <w:highlight w:val="none"/>
          <w:lang w:val="en-US" w:eastAsia="zh-CN" w:bidi="ar"/>
        </w:rPr>
        <w:t>在储备期内，乙方不得擅自动用储备蔬菜。需要轮换蔬菜的，必须向甲方提出申请，在货源落实并得到甲方批准的情况下允许轮换。轮换入库蔬菜的验收，按照本合同第四条的规定执行。</w:t>
      </w:r>
    </w:p>
    <w:p w14:paraId="5B1D121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第七条</w:t>
      </w:r>
      <w:r>
        <w:rPr>
          <w:rFonts w:hint="eastAsia" w:ascii="宋体" w:hAnsi="宋体" w:eastAsia="宋体" w:cs="宋体"/>
          <w:color w:val="auto"/>
          <w:kern w:val="0"/>
          <w:sz w:val="24"/>
          <w:szCs w:val="24"/>
          <w:highlight w:val="none"/>
          <w:lang w:val="en-US" w:eastAsia="zh-CN" w:bidi="ar"/>
        </w:rPr>
        <w:t>乙方要加强对储备蔬菜的管理，保证质量，并不得随意变更储备专库。</w:t>
      </w:r>
    </w:p>
    <w:p w14:paraId="3FC8C2F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第八条</w:t>
      </w:r>
      <w:r>
        <w:rPr>
          <w:rFonts w:hint="eastAsia" w:ascii="宋体" w:hAnsi="宋体" w:eastAsia="宋体" w:cs="宋体"/>
          <w:color w:val="auto"/>
          <w:kern w:val="0"/>
          <w:sz w:val="24"/>
          <w:szCs w:val="24"/>
          <w:highlight w:val="none"/>
          <w:lang w:val="en-US" w:eastAsia="zh-CN" w:bidi="ar"/>
        </w:rPr>
        <w:t>储备期间，甲方对储备蔬菜的品种、数量、质量等进行定期不定期抽查，乙方应积极配合。未经甲方允许，其他无关人等禁止擅自进入政府储备库</w:t>
      </w:r>
      <w:r>
        <w:rPr>
          <w:rFonts w:hint="eastAsia" w:ascii="宋体" w:hAnsi="宋体" w:cs="宋体"/>
          <w:color w:val="auto"/>
          <w:kern w:val="0"/>
          <w:sz w:val="24"/>
          <w:szCs w:val="24"/>
          <w:highlight w:val="none"/>
          <w:lang w:val="en-US" w:eastAsia="zh-CN" w:bidi="ar"/>
        </w:rPr>
        <w:t>。</w:t>
      </w:r>
    </w:p>
    <w:p w14:paraId="6C361F1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第九条</w:t>
      </w:r>
      <w:r>
        <w:rPr>
          <w:rFonts w:hint="eastAsia" w:ascii="宋体" w:hAnsi="宋体" w:eastAsia="宋体" w:cs="宋体"/>
          <w:color w:val="auto"/>
          <w:kern w:val="0"/>
          <w:sz w:val="24"/>
          <w:szCs w:val="24"/>
          <w:highlight w:val="none"/>
          <w:lang w:val="en-US" w:eastAsia="zh-CN" w:bidi="ar"/>
        </w:rPr>
        <w:t>储备蔬菜采购资金由乙方自行解决。乙方储备达到甲方要求的，在完成全部储备、投放任务后，按照省市有关标准给予补贴。其中，市级参照省级标准，补贴金额按照招标合同执行</w:t>
      </w:r>
      <w:r>
        <w:rPr>
          <w:rFonts w:hint="eastAsia" w:ascii="宋体" w:hAnsi="宋体" w:cs="宋体"/>
          <w:color w:val="auto"/>
          <w:kern w:val="0"/>
          <w:sz w:val="24"/>
          <w:szCs w:val="24"/>
          <w:highlight w:val="none"/>
          <w:lang w:val="en-US" w:eastAsia="zh-CN" w:bidi="ar"/>
        </w:rPr>
        <w:t>。</w:t>
      </w:r>
    </w:p>
    <w:p w14:paraId="5E0C673B">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u w:val="single"/>
          <w:lang w:val="en-US" w:eastAsia="zh-CN"/>
        </w:rPr>
      </w:pPr>
      <w:r>
        <w:rPr>
          <w:rFonts w:hint="eastAsia" w:ascii="宋体" w:hAnsi="宋体" w:eastAsia="宋体" w:cs="宋体"/>
          <w:color w:val="auto"/>
          <w:kern w:val="0"/>
          <w:sz w:val="24"/>
          <w:szCs w:val="24"/>
          <w:u w:val="none"/>
          <w:lang w:val="en-US" w:eastAsia="zh-CN" w:bidi="ar"/>
        </w:rPr>
        <w:t>合同总价：人民币</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none"/>
          <w:lang w:val="en-US" w:eastAsia="zh-CN" w:bidi="ar"/>
        </w:rPr>
        <w:t>大写：</w:t>
      </w:r>
      <w:r>
        <w:rPr>
          <w:rFonts w:hint="eastAsia" w:ascii="宋体" w:hAnsi="宋体" w:eastAsia="宋体" w:cs="宋体"/>
          <w:color w:val="auto"/>
          <w:kern w:val="0"/>
          <w:sz w:val="24"/>
          <w:szCs w:val="24"/>
          <w:u w:val="single"/>
          <w:lang w:val="en-US" w:eastAsia="zh-CN" w:bidi="ar"/>
        </w:rPr>
        <w:t xml:space="preserve">              </w:t>
      </w:r>
    </w:p>
    <w:p w14:paraId="0253A4B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cs="宋体"/>
          <w:color w:val="auto"/>
          <w:kern w:val="0"/>
          <w:sz w:val="24"/>
          <w:szCs w:val="24"/>
          <w:lang w:val="en-US" w:eastAsia="zh-CN" w:bidi="ar"/>
        </w:rPr>
        <w:t>付款</w:t>
      </w:r>
      <w:r>
        <w:rPr>
          <w:rFonts w:hint="eastAsia" w:ascii="宋体" w:hAnsi="宋体" w:eastAsia="宋体" w:cs="宋体"/>
          <w:color w:val="auto"/>
          <w:kern w:val="0"/>
          <w:sz w:val="24"/>
          <w:szCs w:val="24"/>
          <w:lang w:val="en-US" w:eastAsia="zh-CN" w:bidi="ar"/>
        </w:rPr>
        <w:t>方式：</w:t>
      </w:r>
      <w:r>
        <w:rPr>
          <w:rFonts w:hint="eastAsia" w:ascii="宋体" w:hAnsi="宋体" w:cs="宋体"/>
          <w:color w:val="auto"/>
          <w:kern w:val="0"/>
          <w:sz w:val="24"/>
          <w:szCs w:val="24"/>
          <w:lang w:val="en-US" w:eastAsia="zh-CN" w:bidi="ar"/>
        </w:rPr>
        <w:t>完成全部储备、投放任务后，由甲方代市政府对储备蔬菜进行监督管理</w:t>
      </w:r>
      <w:r>
        <w:rPr>
          <w:rFonts w:hint="eastAsia" w:ascii="宋体" w:hAnsi="宋体" w:eastAsia="宋体" w:cs="宋体"/>
          <w:color w:val="auto"/>
          <w:kern w:val="0"/>
          <w:sz w:val="24"/>
          <w:szCs w:val="24"/>
          <w:lang w:val="en-US" w:eastAsia="zh-CN" w:bidi="ar"/>
        </w:rPr>
        <w:t>。</w:t>
      </w:r>
    </w:p>
    <w:p w14:paraId="18EE7D5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乙方账户信息</w:t>
      </w:r>
    </w:p>
    <w:p w14:paraId="6AA7CFA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户  名：</w:t>
      </w:r>
    </w:p>
    <w:p w14:paraId="0526DE9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开户行：</w:t>
      </w:r>
    </w:p>
    <w:p w14:paraId="59F6E17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地  址：</w:t>
      </w:r>
    </w:p>
    <w:p w14:paraId="0D348C7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行  号：</w:t>
      </w:r>
    </w:p>
    <w:p w14:paraId="2B756AB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账  号：</w:t>
      </w:r>
    </w:p>
    <w:p w14:paraId="5022712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第十条</w:t>
      </w:r>
      <w:r>
        <w:rPr>
          <w:rFonts w:hint="eastAsia" w:ascii="宋体" w:hAnsi="宋体" w:eastAsia="宋体" w:cs="宋体"/>
          <w:color w:val="auto"/>
          <w:kern w:val="0"/>
          <w:sz w:val="24"/>
          <w:szCs w:val="24"/>
          <w:highlight w:val="none"/>
          <w:lang w:val="en-US" w:eastAsia="zh-CN" w:bidi="ar"/>
        </w:rPr>
        <w:t>储备蔬菜在储备期内的动用权属于渭南市人民政府，由甲方代市政府对储备蔬菜进行监督管理。</w:t>
      </w:r>
    </w:p>
    <w:p w14:paraId="78E45FF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第十一条</w:t>
      </w:r>
      <w:r>
        <w:rPr>
          <w:rFonts w:hint="eastAsia" w:ascii="宋体" w:hAnsi="宋体" w:eastAsia="宋体" w:cs="宋体"/>
          <w:color w:val="auto"/>
          <w:kern w:val="0"/>
          <w:sz w:val="24"/>
          <w:szCs w:val="24"/>
          <w:highlight w:val="none"/>
          <w:lang w:val="en-US" w:eastAsia="zh-CN" w:bidi="ar"/>
        </w:rPr>
        <w:t>需要动用储备蔬菜时，乙方应按甲方要求组织投放，投放的车辆、人工费、短途运输等由乙方具体实施。乙方按照规定的时间、地点、品种和数量，组织运输储备蔬菜进入投放点进行销售，并负责直接销售结算和摊位费等费用结算。投放价格低于市场价格，根据投放前一周的市场价格综合确定。</w:t>
      </w:r>
    </w:p>
    <w:p w14:paraId="061C156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第十二条</w:t>
      </w:r>
      <w:r>
        <w:rPr>
          <w:rFonts w:hint="eastAsia" w:ascii="宋体" w:hAnsi="宋体" w:eastAsia="宋体" w:cs="宋体"/>
          <w:color w:val="auto"/>
          <w:kern w:val="0"/>
          <w:sz w:val="24"/>
          <w:szCs w:val="24"/>
          <w:highlight w:val="none"/>
          <w:lang w:val="en-US" w:eastAsia="zh-CN" w:bidi="ar"/>
        </w:rPr>
        <w:t>违约责任</w:t>
      </w:r>
    </w:p>
    <w:p w14:paraId="65182DF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乙方违反本合同规定，有下列行为之一的，由甲方责令其改正。造成严重后果的，甲方有权终止合同，直至取消其承储资质并进行处罚。</w:t>
      </w:r>
    </w:p>
    <w:p w14:paraId="44380861">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val="en-US" w:eastAsia="zh-CN" w:bidi="ar"/>
        </w:rPr>
        <w:t>对储备蔬菜未实行专仓或专区储存、专人保管、专账记载的;</w:t>
      </w:r>
    </w:p>
    <w:p w14:paraId="7B7FD3C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color w:val="auto"/>
          <w:kern w:val="0"/>
          <w:sz w:val="24"/>
          <w:szCs w:val="24"/>
          <w:highlight w:val="none"/>
          <w:lang w:val="en-US" w:eastAsia="zh-CN" w:bidi="ar"/>
        </w:rPr>
        <w:t>2.储备蔬菜账实不符、弄虚作假、恶意骗补的;</w:t>
      </w:r>
    </w:p>
    <w:p w14:paraId="22CA1A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color w:val="auto"/>
          <w:kern w:val="0"/>
          <w:sz w:val="24"/>
          <w:szCs w:val="24"/>
          <w:highlight w:val="none"/>
          <w:lang w:val="en-US" w:eastAsia="zh-CN" w:bidi="ar"/>
        </w:rPr>
        <w:t>3.在储备蔬菜中掺杂掺假、以次充好的;</w:t>
      </w:r>
    </w:p>
    <w:p w14:paraId="76F5A1F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auto"/>
          <w:kern w:val="0"/>
          <w:sz w:val="24"/>
          <w:szCs w:val="24"/>
          <w:highlight w:val="none"/>
          <w:lang w:val="en-US" w:eastAsia="zh-CN" w:bidi="ar"/>
        </w:rPr>
      </w:pPr>
      <w:r>
        <w:rPr>
          <w:rFonts w:hint="default" w:ascii="宋体" w:hAnsi="宋体" w:eastAsia="宋体" w:cs="宋体"/>
          <w:color w:val="auto"/>
          <w:kern w:val="0"/>
          <w:sz w:val="24"/>
          <w:szCs w:val="24"/>
          <w:highlight w:val="none"/>
          <w:lang w:val="en-US" w:eastAsia="zh-CN" w:bidi="ar"/>
        </w:rPr>
        <w:t>4.擅自串换政府储备品种、变更政府储备储存地点的</w:t>
      </w:r>
      <w:r>
        <w:rPr>
          <w:rFonts w:hint="eastAsia" w:ascii="宋体" w:hAnsi="宋体" w:cs="宋体"/>
          <w:color w:val="auto"/>
          <w:kern w:val="0"/>
          <w:sz w:val="24"/>
          <w:szCs w:val="24"/>
          <w:highlight w:val="none"/>
          <w:lang w:val="en-US" w:eastAsia="zh-CN" w:bidi="ar"/>
        </w:rPr>
        <w:t>；</w:t>
      </w:r>
    </w:p>
    <w:p w14:paraId="2E4E2ED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color w:val="auto"/>
          <w:kern w:val="0"/>
          <w:sz w:val="24"/>
          <w:szCs w:val="24"/>
          <w:highlight w:val="none"/>
          <w:lang w:val="en-US" w:eastAsia="zh-CN" w:bidi="ar"/>
        </w:rPr>
        <w:t>5.未按合同完成蔬菜储备任务、拒不执行或者擅自改变储备任务的</w:t>
      </w:r>
      <w:r>
        <w:rPr>
          <w:rFonts w:hint="eastAsia" w:ascii="宋体" w:hAnsi="宋体" w:cs="宋体"/>
          <w:color w:val="auto"/>
          <w:kern w:val="0"/>
          <w:sz w:val="24"/>
          <w:szCs w:val="24"/>
          <w:highlight w:val="none"/>
          <w:lang w:val="en-US" w:eastAsia="zh-CN" w:bidi="ar"/>
        </w:rPr>
        <w:t>；</w:t>
      </w:r>
    </w:p>
    <w:p w14:paraId="7919052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color w:val="auto"/>
          <w:kern w:val="0"/>
          <w:sz w:val="24"/>
          <w:szCs w:val="24"/>
          <w:highlight w:val="none"/>
          <w:lang w:val="en-US" w:eastAsia="zh-CN" w:bidi="ar"/>
        </w:rPr>
        <w:t>6.无正当理由拒绝、阻挠、于涉检查人员履行职责的</w:t>
      </w:r>
      <w:r>
        <w:rPr>
          <w:rFonts w:hint="eastAsia" w:ascii="宋体" w:hAnsi="宋体" w:cs="宋体"/>
          <w:color w:val="auto"/>
          <w:kern w:val="0"/>
          <w:sz w:val="24"/>
          <w:szCs w:val="24"/>
          <w:highlight w:val="none"/>
          <w:lang w:val="en-US" w:eastAsia="zh-CN" w:bidi="ar"/>
        </w:rPr>
        <w:t>；</w:t>
      </w:r>
    </w:p>
    <w:p w14:paraId="6E6377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color w:val="auto"/>
          <w:kern w:val="0"/>
          <w:sz w:val="24"/>
          <w:szCs w:val="24"/>
          <w:highlight w:val="none"/>
          <w:lang w:val="en-US" w:eastAsia="zh-CN" w:bidi="ar"/>
        </w:rPr>
        <w:t>7.乙方在蔬菜储存期间，如发生储备蔬菜变质、弄虚作假且没有及时补充储备的，根据合同总价、储备数量、储备时间，扣减其变质、虚报部分的仓储费用补贴，直至取消承储资格。</w:t>
      </w:r>
    </w:p>
    <w:p w14:paraId="71BB07E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lang w:val="en-US" w:eastAsia="zh-CN"/>
        </w:rPr>
      </w:pPr>
      <w:r>
        <w:rPr>
          <w:rFonts w:hint="default" w:ascii="宋体" w:hAnsi="宋体" w:eastAsia="宋体" w:cs="宋体"/>
          <w:color w:val="auto"/>
          <w:kern w:val="0"/>
          <w:sz w:val="24"/>
          <w:szCs w:val="24"/>
          <w:highlight w:val="none"/>
          <w:lang w:val="en-US" w:eastAsia="zh-CN" w:bidi="ar"/>
        </w:rPr>
        <w:t>8.乙方未按照甲方要求组织投放，或擅自改变投放时</w:t>
      </w:r>
      <w:r>
        <w:rPr>
          <w:rFonts w:hint="default"/>
          <w:lang w:val="en-US" w:eastAsia="zh-CN"/>
        </w:rPr>
        <w:t>间、地点、品种、数量、价格的。</w:t>
      </w:r>
    </w:p>
    <w:p w14:paraId="6F5D659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b/>
          <w:bCs/>
          <w:color w:val="auto"/>
          <w:kern w:val="0"/>
          <w:sz w:val="24"/>
          <w:szCs w:val="24"/>
          <w:highlight w:val="none"/>
          <w:lang w:val="en-US" w:eastAsia="zh-CN" w:bidi="ar"/>
        </w:rPr>
        <w:t>第十三条</w:t>
      </w:r>
      <w:r>
        <w:rPr>
          <w:rFonts w:hint="default" w:ascii="宋体" w:hAnsi="宋体" w:eastAsia="宋体" w:cs="宋体"/>
          <w:color w:val="auto"/>
          <w:kern w:val="0"/>
          <w:sz w:val="24"/>
          <w:szCs w:val="24"/>
          <w:highlight w:val="none"/>
          <w:lang w:val="en-US" w:eastAsia="zh-CN" w:bidi="ar"/>
        </w:rPr>
        <w:t>合同终止</w:t>
      </w:r>
    </w:p>
    <w:p w14:paraId="69F84B4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color w:val="auto"/>
          <w:kern w:val="0"/>
          <w:sz w:val="24"/>
          <w:szCs w:val="24"/>
          <w:highlight w:val="none"/>
          <w:lang w:val="en-US" w:eastAsia="zh-CN" w:bidi="ar"/>
        </w:rPr>
        <w:t>1.乙方违反本合同任何一条相关规定，甲方有权终止本合同</w:t>
      </w:r>
      <w:r>
        <w:rPr>
          <w:rFonts w:hint="eastAsia" w:ascii="宋体" w:hAnsi="宋体" w:cs="宋体"/>
          <w:color w:val="auto"/>
          <w:kern w:val="0"/>
          <w:sz w:val="24"/>
          <w:szCs w:val="24"/>
          <w:highlight w:val="none"/>
          <w:lang w:val="en-US" w:eastAsia="zh-CN" w:bidi="ar"/>
        </w:rPr>
        <w:t>。</w:t>
      </w:r>
    </w:p>
    <w:p w14:paraId="18262C1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color w:val="auto"/>
          <w:kern w:val="0"/>
          <w:sz w:val="24"/>
          <w:szCs w:val="24"/>
          <w:highlight w:val="none"/>
          <w:lang w:val="en-US" w:eastAsia="zh-CN" w:bidi="ar"/>
        </w:rPr>
        <w:t>2.乙方因发生破产、解散、停业或储备设施重大故障等各种变故无法继续承担储备任务时，产生的相关损失由乙方负责，本合同自行终止。</w:t>
      </w:r>
    </w:p>
    <w:p w14:paraId="3002B42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color w:val="auto"/>
          <w:kern w:val="0"/>
          <w:sz w:val="24"/>
          <w:szCs w:val="24"/>
          <w:highlight w:val="none"/>
          <w:lang w:val="en-US" w:eastAsia="zh-CN" w:bidi="ar"/>
        </w:rPr>
        <w:t>3.乙方按甲方要求投放完毕或储备期满，本合同自行终止。</w:t>
      </w:r>
    </w:p>
    <w:p w14:paraId="3B1E9B4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b/>
          <w:bCs/>
          <w:color w:val="auto"/>
          <w:kern w:val="0"/>
          <w:sz w:val="24"/>
          <w:szCs w:val="24"/>
          <w:highlight w:val="none"/>
          <w:lang w:val="en-US" w:eastAsia="zh-CN" w:bidi="ar"/>
        </w:rPr>
        <w:t>第十四条</w:t>
      </w:r>
      <w:r>
        <w:rPr>
          <w:rFonts w:hint="default" w:ascii="宋体" w:hAnsi="宋体" w:eastAsia="宋体" w:cs="宋体"/>
          <w:color w:val="auto"/>
          <w:kern w:val="0"/>
          <w:sz w:val="24"/>
          <w:szCs w:val="24"/>
          <w:highlight w:val="none"/>
          <w:lang w:val="en-US" w:eastAsia="zh-CN" w:bidi="ar"/>
        </w:rPr>
        <w:t>在本合同履行过程中产生的一切争议，双方可协商解决。第十五条未尽事宜由甲、乙方双方协商并签订相关的补充协议，签订的补充协议与本合同具有同等法律效力。</w:t>
      </w:r>
    </w:p>
    <w:p w14:paraId="76B178B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宋体" w:hAnsi="宋体" w:eastAsia="宋体" w:cs="宋体"/>
          <w:color w:val="auto"/>
          <w:kern w:val="0"/>
          <w:sz w:val="24"/>
          <w:szCs w:val="24"/>
          <w:highlight w:val="none"/>
          <w:lang w:val="en-US" w:eastAsia="zh-CN" w:bidi="ar"/>
        </w:rPr>
      </w:pPr>
      <w:r>
        <w:rPr>
          <w:rFonts w:hint="default" w:ascii="宋体" w:hAnsi="宋体" w:eastAsia="宋体" w:cs="宋体"/>
          <w:b/>
          <w:bCs/>
          <w:color w:val="auto"/>
          <w:kern w:val="0"/>
          <w:sz w:val="24"/>
          <w:szCs w:val="24"/>
          <w:highlight w:val="none"/>
          <w:lang w:val="en-US" w:eastAsia="zh-CN" w:bidi="ar"/>
        </w:rPr>
        <w:t>第十</w:t>
      </w:r>
      <w:r>
        <w:rPr>
          <w:rFonts w:hint="eastAsia" w:ascii="宋体" w:hAnsi="宋体" w:cs="宋体"/>
          <w:b/>
          <w:bCs/>
          <w:color w:val="auto"/>
          <w:kern w:val="0"/>
          <w:sz w:val="24"/>
          <w:szCs w:val="24"/>
          <w:highlight w:val="none"/>
          <w:lang w:val="en-US" w:eastAsia="zh-CN" w:bidi="ar"/>
        </w:rPr>
        <w:t>五</w:t>
      </w:r>
      <w:r>
        <w:rPr>
          <w:rFonts w:hint="default" w:ascii="宋体" w:hAnsi="宋体" w:eastAsia="宋体" w:cs="宋体"/>
          <w:b/>
          <w:bCs/>
          <w:color w:val="auto"/>
          <w:kern w:val="0"/>
          <w:sz w:val="24"/>
          <w:szCs w:val="24"/>
          <w:highlight w:val="none"/>
          <w:lang w:val="en-US" w:eastAsia="zh-CN" w:bidi="ar"/>
        </w:rPr>
        <w:t>条</w:t>
      </w:r>
      <w:r>
        <w:rPr>
          <w:rFonts w:hint="default" w:ascii="宋体" w:hAnsi="宋体" w:eastAsia="宋体" w:cs="宋体"/>
          <w:color w:val="auto"/>
          <w:kern w:val="0"/>
          <w:sz w:val="24"/>
          <w:szCs w:val="24"/>
          <w:highlight w:val="none"/>
          <w:lang w:val="en-US" w:eastAsia="zh-CN" w:bidi="ar"/>
        </w:rPr>
        <w:t>本合同一式陆份，具有同等法律效力。甲、乙双方各执贰份，监管部门备案壹份、采购代理机构存档壹份。</w:t>
      </w:r>
    </w:p>
    <w:tbl>
      <w:tblPr>
        <w:tblStyle w:val="6"/>
        <w:tblW w:w="9380" w:type="dxa"/>
        <w:tblInd w:w="0" w:type="dxa"/>
        <w:tblLayout w:type="fixed"/>
        <w:tblCellMar>
          <w:top w:w="0" w:type="dxa"/>
          <w:left w:w="108" w:type="dxa"/>
          <w:bottom w:w="0" w:type="dxa"/>
          <w:right w:w="108" w:type="dxa"/>
        </w:tblCellMar>
      </w:tblPr>
      <w:tblGrid>
        <w:gridCol w:w="4637"/>
        <w:gridCol w:w="4743"/>
      </w:tblGrid>
      <w:tr w14:paraId="27ACD27A">
        <w:tblPrEx>
          <w:tblCellMar>
            <w:top w:w="0" w:type="dxa"/>
            <w:left w:w="108" w:type="dxa"/>
            <w:bottom w:w="0" w:type="dxa"/>
            <w:right w:w="108" w:type="dxa"/>
          </w:tblCellMar>
        </w:tblPrEx>
        <w:trPr>
          <w:trHeight w:val="645" w:hRule="atLeast"/>
        </w:trPr>
        <w:tc>
          <w:tcPr>
            <w:tcW w:w="4637" w:type="dxa"/>
            <w:noWrap w:val="0"/>
            <w:vAlign w:val="top"/>
          </w:tcPr>
          <w:p w14:paraId="1FA986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61E9FA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5F0A6CBB">
            <w:pPr>
              <w:pStyle w:val="2"/>
              <w:rPr>
                <w:rFonts w:hint="eastAsia" w:ascii="宋体" w:hAnsi="宋体" w:eastAsia="宋体" w:cs="宋体"/>
                <w:color w:val="auto"/>
                <w:sz w:val="24"/>
                <w:szCs w:val="24"/>
              </w:rPr>
            </w:pPr>
          </w:p>
          <w:p w14:paraId="5092549A">
            <w:pPr>
              <w:pStyle w:val="2"/>
              <w:rPr>
                <w:rFonts w:hint="eastAsia" w:ascii="宋体" w:hAnsi="宋体" w:eastAsia="宋体" w:cs="宋体"/>
                <w:color w:val="auto"/>
                <w:sz w:val="24"/>
                <w:szCs w:val="24"/>
              </w:rPr>
            </w:pPr>
          </w:p>
          <w:p w14:paraId="52FF0F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3983CA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甲方名称：</w:t>
            </w:r>
          </w:p>
        </w:tc>
        <w:tc>
          <w:tcPr>
            <w:tcW w:w="4743" w:type="dxa"/>
            <w:noWrap w:val="0"/>
            <w:vAlign w:val="top"/>
          </w:tcPr>
          <w:p w14:paraId="0751C7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4A7135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103D0A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114BC2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2B9ECC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乙方名称： </w:t>
            </w:r>
          </w:p>
        </w:tc>
      </w:tr>
      <w:tr w14:paraId="7AC9BF68">
        <w:tblPrEx>
          <w:tblCellMar>
            <w:top w:w="0" w:type="dxa"/>
            <w:left w:w="108" w:type="dxa"/>
            <w:bottom w:w="0" w:type="dxa"/>
            <w:right w:w="108" w:type="dxa"/>
          </w:tblCellMar>
        </w:tblPrEx>
        <w:trPr>
          <w:trHeight w:val="645" w:hRule="atLeast"/>
        </w:trPr>
        <w:tc>
          <w:tcPr>
            <w:tcW w:w="4637" w:type="dxa"/>
            <w:noWrap w:val="0"/>
            <w:vAlign w:val="top"/>
          </w:tcPr>
          <w:p w14:paraId="5CB53D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法定代表人或授权委托人（签字）：</w:t>
            </w:r>
          </w:p>
        </w:tc>
        <w:tc>
          <w:tcPr>
            <w:tcW w:w="4743" w:type="dxa"/>
            <w:noWrap w:val="0"/>
            <w:vAlign w:val="top"/>
          </w:tcPr>
          <w:p w14:paraId="069203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法定代表人或授权委托人（签字）：</w:t>
            </w:r>
          </w:p>
        </w:tc>
      </w:tr>
      <w:tr w14:paraId="24762E22">
        <w:tblPrEx>
          <w:tblCellMar>
            <w:top w:w="0" w:type="dxa"/>
            <w:left w:w="108" w:type="dxa"/>
            <w:bottom w:w="0" w:type="dxa"/>
            <w:right w:w="108" w:type="dxa"/>
          </w:tblCellMar>
        </w:tblPrEx>
        <w:trPr>
          <w:trHeight w:val="645" w:hRule="atLeast"/>
        </w:trPr>
        <w:tc>
          <w:tcPr>
            <w:tcW w:w="4637" w:type="dxa"/>
            <w:noWrap w:val="0"/>
            <w:vAlign w:val="top"/>
          </w:tcPr>
          <w:p w14:paraId="3E5946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4743" w:type="dxa"/>
            <w:noWrap w:val="0"/>
            <w:vAlign w:val="top"/>
          </w:tcPr>
          <w:p w14:paraId="2E1177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r>
      <w:tr w14:paraId="544EF65B">
        <w:tblPrEx>
          <w:tblCellMar>
            <w:top w:w="0" w:type="dxa"/>
            <w:left w:w="108" w:type="dxa"/>
            <w:bottom w:w="0" w:type="dxa"/>
            <w:right w:w="108" w:type="dxa"/>
          </w:tblCellMar>
        </w:tblPrEx>
        <w:trPr>
          <w:trHeight w:val="645" w:hRule="atLeast"/>
        </w:trPr>
        <w:tc>
          <w:tcPr>
            <w:tcW w:w="4637" w:type="dxa"/>
            <w:noWrap w:val="0"/>
            <w:vAlign w:val="top"/>
          </w:tcPr>
          <w:p w14:paraId="174889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    址：</w:t>
            </w:r>
          </w:p>
          <w:p w14:paraId="6FF0BAB1">
            <w:pPr>
              <w:bidi w:val="0"/>
              <w:rPr>
                <w:rFonts w:hint="eastAsia" w:ascii="Times New Roman" w:hAnsi="Times New Roman" w:eastAsia="宋体" w:cs="Times New Roman"/>
                <w:kern w:val="2"/>
                <w:sz w:val="21"/>
                <w:lang w:val="en-US" w:eastAsia="zh-CN" w:bidi="ar-SA"/>
              </w:rPr>
            </w:pPr>
          </w:p>
          <w:p w14:paraId="416BB841">
            <w:pPr>
              <w:bidi w:val="0"/>
              <w:jc w:val="left"/>
              <w:rPr>
                <w:rFonts w:hint="eastAsia"/>
                <w:lang w:val="en-US" w:eastAsia="zh-CN"/>
              </w:rPr>
            </w:pPr>
          </w:p>
        </w:tc>
        <w:tc>
          <w:tcPr>
            <w:tcW w:w="4743" w:type="dxa"/>
            <w:noWrap w:val="0"/>
            <w:vAlign w:val="top"/>
          </w:tcPr>
          <w:p w14:paraId="0345440F">
            <w:pPr>
              <w:keepNext w:val="0"/>
              <w:keepLines w:val="0"/>
              <w:pageBreakBefore w:val="0"/>
              <w:widowControl w:val="0"/>
              <w:kinsoku/>
              <w:wordWrap/>
              <w:overflowPunct/>
              <w:topLinePunct w:val="0"/>
              <w:autoSpaceDE/>
              <w:autoSpaceDN/>
              <w:bidi w:val="0"/>
              <w:adjustRightInd/>
              <w:snapToGrid/>
              <w:spacing w:line="360" w:lineRule="auto"/>
              <w:ind w:left="1320" w:hanging="1320" w:hangingChars="5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    址：</w:t>
            </w:r>
          </w:p>
        </w:tc>
      </w:tr>
      <w:tr w14:paraId="448D8EBB">
        <w:tblPrEx>
          <w:tblCellMar>
            <w:top w:w="0" w:type="dxa"/>
            <w:left w:w="108" w:type="dxa"/>
            <w:bottom w:w="0" w:type="dxa"/>
            <w:right w:w="108" w:type="dxa"/>
          </w:tblCellMar>
        </w:tblPrEx>
        <w:trPr>
          <w:trHeight w:val="619" w:hRule="atLeast"/>
        </w:trPr>
        <w:tc>
          <w:tcPr>
            <w:tcW w:w="4637" w:type="dxa"/>
            <w:noWrap w:val="0"/>
            <w:vAlign w:val="top"/>
          </w:tcPr>
          <w:p w14:paraId="617C1C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签订日期</w:t>
            </w:r>
            <w:r>
              <w:rPr>
                <w:rFonts w:hint="eastAsia" w:ascii="宋体" w:hAnsi="宋体" w:eastAsia="宋体" w:cs="宋体"/>
                <w:color w:val="auto"/>
                <w:sz w:val="24"/>
                <w:szCs w:val="24"/>
              </w:rPr>
              <w:t>：</w:t>
            </w:r>
          </w:p>
        </w:tc>
        <w:tc>
          <w:tcPr>
            <w:tcW w:w="4743" w:type="dxa"/>
            <w:noWrap w:val="0"/>
            <w:vAlign w:val="top"/>
          </w:tcPr>
          <w:p w14:paraId="741718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签订日期</w:t>
            </w:r>
            <w:r>
              <w:rPr>
                <w:rFonts w:hint="eastAsia" w:ascii="宋体" w:hAnsi="宋体" w:eastAsia="宋体" w:cs="宋体"/>
                <w:color w:val="auto"/>
                <w:sz w:val="24"/>
                <w:szCs w:val="24"/>
              </w:rPr>
              <w:t>：</w:t>
            </w:r>
          </w:p>
        </w:tc>
      </w:tr>
    </w:tbl>
    <w:p w14:paraId="1D9217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67341"/>
    <w:rsid w:val="17B858D9"/>
    <w:rsid w:val="2C067341"/>
    <w:rsid w:val="58B43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200" w:firstLineChars="200"/>
    </w:pPr>
    <w:rPr>
      <w:rFonts w:eastAsia="楷体_GB2312"/>
    </w:rPr>
  </w:style>
  <w:style w:type="paragraph" w:styleId="3">
    <w:name w:val="Body Text"/>
    <w:basedOn w:val="1"/>
    <w:next w:val="1"/>
    <w:qFormat/>
    <w:uiPriority w:val="0"/>
    <w:pPr>
      <w:spacing w:line="360" w:lineRule="auto"/>
    </w:pPr>
    <w:rPr>
      <w:rFonts w:ascii="仿宋_GB2312" w:eastAsia="仿宋_GB2312"/>
      <w:sz w:val="2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5">
    <w:name w:val="Body Text First Indent"/>
    <w:basedOn w:val="3"/>
    <w:qFormat/>
    <w:uiPriority w:val="0"/>
    <w:pPr>
      <w:spacing w:line="312" w:lineRule="auto"/>
      <w:ind w:firstLine="420"/>
    </w:p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1795</Words>
  <Characters>1885</Characters>
  <Lines>0</Lines>
  <Paragraphs>0</Paragraphs>
  <TotalTime>39</TotalTime>
  <ScaleCrop>false</ScaleCrop>
  <LinksUpToDate>false</LinksUpToDate>
  <CharactersWithSpaces>2078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2025-11-21T09:12:00Z</dcterms:created>
  <dc:creator>呜呼拉嘿</dc:creator>
  <cp:lastModifiedBy>呜呼拉嘿</cp:lastModifiedBy>
  <dcterms:modified xsi:type="dcterms:W3CDTF">2025-11-21T10:02:44Z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CEE5328AD3AA45509C0F178EC9D329FA_13</vt:lpwstr>
  </property>
  <property fmtid="{D5CDD505-2E9C-101B-9397-08002B2CF9AE}" pid="4" name="KSOTemplateDocerSaveRecord">
    <vt:lpwstr>eyJoZGlkIjoiMjFmNjVmNDI4NWNiZGI2MWNjNDcyOWQ1MWJmY2VkYjciLCJ1c2VySWQiOiIzMTk1NTk3MDEifQ==</vt:lpwstr>
  </property>
</Properties>
</file>