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版本号：ZCSP-渭南市-2025-00754、XACH2025-13520251127001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互联网统一出口管理及网络优化服务项目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ZCSP-渭南市-2025-00754、XACH2025-135</w:t>
      </w:r>
      <w:r>
        <w:br/>
      </w:r>
      <w:r>
        <w:br/>
      </w:r>
      <w:r>
        <w:br/>
      </w:r>
    </w:p>
    <w:p>
      <w:pPr>
        <w:pStyle w:val="null3"/>
        <w:jc w:val="center"/>
        <w:outlineLvl w:val="2"/>
      </w:pPr>
      <w:r>
        <w:rPr>
          <w:rFonts w:ascii="仿宋_GB2312" w:hAnsi="仿宋_GB2312" w:cs="仿宋_GB2312" w:eastAsia="仿宋_GB2312"/>
          <w:sz w:val="28"/>
          <w:b/>
        </w:rPr>
        <w:t>渭南市中心医院</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渭南市中心医院</w:t>
      </w:r>
      <w:r>
        <w:rPr>
          <w:rFonts w:ascii="仿宋_GB2312" w:hAnsi="仿宋_GB2312" w:cs="仿宋_GB2312" w:eastAsia="仿宋_GB2312"/>
        </w:rPr>
        <w:t>委托，拟对</w:t>
      </w:r>
      <w:r>
        <w:rPr>
          <w:rFonts w:ascii="仿宋_GB2312" w:hAnsi="仿宋_GB2312" w:cs="仿宋_GB2312" w:eastAsia="仿宋_GB2312"/>
        </w:rPr>
        <w:t>互联网统一出口管理及网络优化服务项目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ZCSP-渭南市-2025-00754、XACH2025-135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互联网统一出口管理及网络优化服务项目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渭南市中心医院互联网统一出口管理及网络优化服务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采购包1（渭南市中心医院互联网统一出口管理及网络优化服务项目（采购包1））：属于专门面向中小企业采购。</w:t>
      </w:r>
    </w:p>
    <w:p>
      <w:pPr>
        <w:pStyle w:val="null3"/>
      </w:pPr>
      <w:r>
        <w:rPr>
          <w:rFonts w:ascii="仿宋_GB2312" w:hAnsi="仿宋_GB2312" w:cs="仿宋_GB2312" w:eastAsia="仿宋_GB2312"/>
        </w:rPr>
        <w:t>采购包2（渭南市中心医院互联网统一出口管理及网络优化服务项目（采购包2））：属于专门面向中小企业采购。</w:t>
      </w:r>
    </w:p>
    <w:p>
      <w:pPr>
        <w:pStyle w:val="null3"/>
      </w:pPr>
      <w:r>
        <w:rPr>
          <w:rFonts w:ascii="仿宋_GB2312" w:hAnsi="仿宋_GB2312" w:cs="仿宋_GB2312" w:eastAsia="仿宋_GB2312"/>
        </w:rPr>
        <w:t>采购包4（渭南市中心医院互联网统一出口管理及网络优化服务项目（采购包4））：属于专门面向中小企业采购。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负责人）授权委托书（附法定代表人（负责人）身份证复印件）及被授权委托人身份证（法定代表人（负责人）参加磋商只需提供法定代表人（负责人）身份证）；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供应商提供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p>
      <w:pPr>
        <w:pStyle w:val="null3"/>
      </w:pPr>
      <w:r>
        <w:rPr>
          <w:rFonts w:ascii="仿宋_GB2312" w:hAnsi="仿宋_GB2312" w:cs="仿宋_GB2312" w:eastAsia="仿宋_GB2312"/>
        </w:rPr>
        <w:t>4、供应商具有良好的商业信誉和健全的财务会计制度：供应商提供2024年度财务审计报告或磋商前3个月内供应商基本账户银行出具的资信证明；供应商需在项目电子化交易系统中按要求上传相应证明文件并进行电子签章。</w:t>
      </w:r>
    </w:p>
    <w:p>
      <w:pPr>
        <w:pStyle w:val="null3"/>
      </w:pPr>
      <w:r>
        <w:rPr>
          <w:rFonts w:ascii="仿宋_GB2312" w:hAnsi="仿宋_GB2312" w:cs="仿宋_GB2312" w:eastAsia="仿宋_GB2312"/>
        </w:rPr>
        <w:t>5、供应商具有履行合同所必需的设备和专业技术能力：供应商具有履行合同所必需的设备和专业技术能力的声明；供应商需在项目电子化交易系统中按要求上传相应证明文件并进行电子签章。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6、专门面向中小企业采购：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p>
      <w:pPr>
        <w:pStyle w:val="null3"/>
      </w:pPr>
      <w:r>
        <w:rPr>
          <w:rFonts w:ascii="仿宋_GB2312" w:hAnsi="仿宋_GB2312" w:cs="仿宋_GB2312" w:eastAsia="仿宋_GB2312"/>
        </w:rPr>
        <w:t>7、供应商参加政府采购活动前三年内在经营活动中没有重大违法记录：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8、磋商保证金：提供磋商保证金交纳凭证；供应商需在项目电子化交易系统中按要求上传相应证明文件并进行电子签章。</w:t>
      </w:r>
    </w:p>
    <w:p>
      <w:pPr>
        <w:pStyle w:val="null3"/>
      </w:pPr>
      <w:r>
        <w:rPr>
          <w:rFonts w:ascii="仿宋_GB2312" w:hAnsi="仿宋_GB2312" w:cs="仿宋_GB2312" w:eastAsia="仿宋_GB2312"/>
        </w:rPr>
        <w:t>9、非联合体磋商：非联合体磋商声明；供应商需在项目电子化交易系统中按要求上传相应证明文件并进行电子签章。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具有独立承担民事责任的能力：供应商应具有独立承担民事责任的能力且具备向采购人提供相关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负责人）授权委托书（附法定代表人（负责人）身份证复印件）及被授权委托人身份证（法定代表人（负责人）参加磋商只需提供法定代表人（负责人）身份证）；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供应商提供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p>
      <w:pPr>
        <w:pStyle w:val="null3"/>
      </w:pPr>
      <w:r>
        <w:rPr>
          <w:rFonts w:ascii="仿宋_GB2312" w:hAnsi="仿宋_GB2312" w:cs="仿宋_GB2312" w:eastAsia="仿宋_GB2312"/>
        </w:rPr>
        <w:t>4、供应商具有良好的商业信誉和健全的财务会计制度：供应商提供2024年度财务审计报告或磋商前3个月内供应商基本账户银行出具的资信证明；供应商需在项目电子化交易系统中按要求上传相应证明文件并进行电子签章。</w:t>
      </w:r>
    </w:p>
    <w:p>
      <w:pPr>
        <w:pStyle w:val="null3"/>
      </w:pPr>
      <w:r>
        <w:rPr>
          <w:rFonts w:ascii="仿宋_GB2312" w:hAnsi="仿宋_GB2312" w:cs="仿宋_GB2312" w:eastAsia="仿宋_GB2312"/>
        </w:rPr>
        <w:t>5、供应商具有履行合同所必需的设备和专业技术能力：供应商具有履行合同所必需的设备和专业技术能力的声明；供应商需在项目电子化交易系统中按要求上传相应证明文件并进行电子签章。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6、资质证书：具有公安部颁发的有效的网络安全等级测评与检测评估机构服务认证证书；供应商需在项目电子化交易系统中按要求上传相应证明文件并进行电子签章。</w:t>
      </w:r>
    </w:p>
    <w:p>
      <w:pPr>
        <w:pStyle w:val="null3"/>
      </w:pPr>
      <w:r>
        <w:rPr>
          <w:rFonts w:ascii="仿宋_GB2312" w:hAnsi="仿宋_GB2312" w:cs="仿宋_GB2312" w:eastAsia="仿宋_GB2312"/>
        </w:rPr>
        <w:t>7、专门面向中小企业采购：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p>
      <w:pPr>
        <w:pStyle w:val="null3"/>
      </w:pPr>
      <w:r>
        <w:rPr>
          <w:rFonts w:ascii="仿宋_GB2312" w:hAnsi="仿宋_GB2312" w:cs="仿宋_GB2312" w:eastAsia="仿宋_GB2312"/>
        </w:rPr>
        <w:t>8、供应商参加政府采购活动前三年内在经营活动中没有重大违法记录：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9、磋商保证金：提供磋商保证金交纳凭证；供应商需在项目电子化交易系统中按要求上传相应证明文件并进行电子签章。</w:t>
      </w:r>
    </w:p>
    <w:p>
      <w:pPr>
        <w:pStyle w:val="null3"/>
      </w:pPr>
      <w:r>
        <w:rPr>
          <w:rFonts w:ascii="仿宋_GB2312" w:hAnsi="仿宋_GB2312" w:cs="仿宋_GB2312" w:eastAsia="仿宋_GB2312"/>
        </w:rPr>
        <w:t>10、非联合体磋商：联合体磋商声明；供应商需在项目电子化交易系统中按要求上传相应证明文件并进行电子签章。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负责人）授权委托书（附法定代表人（负责人）身份证复印件）及被授权委托人身份证（法定代表人（负责人）参加磋商只需提供法定代表人（负责人）身份证）；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供应商提供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p>
      <w:pPr>
        <w:pStyle w:val="null3"/>
      </w:pPr>
      <w:r>
        <w:rPr>
          <w:rFonts w:ascii="仿宋_GB2312" w:hAnsi="仿宋_GB2312" w:cs="仿宋_GB2312" w:eastAsia="仿宋_GB2312"/>
        </w:rPr>
        <w:t>4、供应商具有良好的商业信誉和健全的财务会计制度：供应商提供2024年度财务审计报告或磋商前3个月内供应商基本账户银行出具的资信证明；供应商需在项目电子化交易系统中按要求上传相应证明文件并进行电子签章。</w:t>
      </w:r>
    </w:p>
    <w:p>
      <w:pPr>
        <w:pStyle w:val="null3"/>
      </w:pPr>
      <w:r>
        <w:rPr>
          <w:rFonts w:ascii="仿宋_GB2312" w:hAnsi="仿宋_GB2312" w:cs="仿宋_GB2312" w:eastAsia="仿宋_GB2312"/>
        </w:rPr>
        <w:t>5、供应商具有履行合同所必需的设备和专业技术能力：供应商具有履行合同所必需的设备和专业技术能力的声明；供应商需在项目电子化交易系统中按要求上传相应证明文件并进行电子签章。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6、供应商参加政府采购活动前三年内在经营活动中没有重大违法记录：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7、磋商保证金：提供磋商保证金交纳凭证；供应商需在项目电子化交易系统中按要求上传相应证明文件并进行电子签章。</w:t>
      </w:r>
    </w:p>
    <w:p>
      <w:pPr>
        <w:pStyle w:val="null3"/>
      </w:pPr>
      <w:r>
        <w:rPr>
          <w:rFonts w:ascii="仿宋_GB2312" w:hAnsi="仿宋_GB2312" w:cs="仿宋_GB2312" w:eastAsia="仿宋_GB2312"/>
        </w:rPr>
        <w:t>8、非联合体磋商：非联合体磋商声明；供应商需在项目电子化交易系统中按要求上传相应证明文件并进行电子签章。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具有独立承担民事责任的能力：供应商应具有独立承担民事责任的能力且具备向采购人提供相关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负责人）授权委托书（附法定代表人（负责人）身份证复印件）及被授权委托人身份证（法定代表人（负责人）参加磋商只需提供法定代表人（负责人）身份证）；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供应商提供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p>
      <w:pPr>
        <w:pStyle w:val="null3"/>
      </w:pPr>
      <w:r>
        <w:rPr>
          <w:rFonts w:ascii="仿宋_GB2312" w:hAnsi="仿宋_GB2312" w:cs="仿宋_GB2312" w:eastAsia="仿宋_GB2312"/>
        </w:rPr>
        <w:t>4、供应商具有良好的商业信誉和健全的财务会计制度：供应商提供2024年度财务审计报告或磋商前3个月内供应商基本账户银行出具的资信证明；供应商需在项目电子化交易系统中按要求上传相应证明文件并进行电子签章。</w:t>
      </w:r>
    </w:p>
    <w:p>
      <w:pPr>
        <w:pStyle w:val="null3"/>
      </w:pPr>
      <w:r>
        <w:rPr>
          <w:rFonts w:ascii="仿宋_GB2312" w:hAnsi="仿宋_GB2312" w:cs="仿宋_GB2312" w:eastAsia="仿宋_GB2312"/>
        </w:rPr>
        <w:t>5、供应商具有履行合同所必需的设备和专业技术能力：供应商具有履行合同所必需的设备和专业技术能力的声明；供应商需在项目电子化交易系统中按要求上传相应证明文件并进行电子签章。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6、专门面向中小企业采购：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p>
      <w:pPr>
        <w:pStyle w:val="null3"/>
      </w:pPr>
      <w:r>
        <w:rPr>
          <w:rFonts w:ascii="仿宋_GB2312" w:hAnsi="仿宋_GB2312" w:cs="仿宋_GB2312" w:eastAsia="仿宋_GB2312"/>
        </w:rPr>
        <w:t>7、供应商参加政府采购活动前三年内在经营活动中没有重大违法记录：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8、磋商保证金：提供磋商保证金交纳凭证；供应商需在项目电子化交易系统中按要求上传相应证明文件并进行电子签章。</w:t>
      </w:r>
    </w:p>
    <w:p>
      <w:pPr>
        <w:pStyle w:val="null3"/>
      </w:pPr>
      <w:r>
        <w:rPr>
          <w:rFonts w:ascii="仿宋_GB2312" w:hAnsi="仿宋_GB2312" w:cs="仿宋_GB2312" w:eastAsia="仿宋_GB2312"/>
        </w:rPr>
        <w:t>9、非联合体磋商：非联合体磋商声明；供应商需在项目电子化交易系统中按要求上传相应证明文件并进行电子签章。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0913-2168363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齐莎莎、王文文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029-82286063、029-82285837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采购包1：270,000.00元</w:t>
            </w:r>
          </w:p>
          <w:p>
            <w:pPr>
              <w:pStyle w:val="null3"/>
            </w:pPr>
            <w:r>
              <w:rPr>
                <w:rFonts w:ascii="仿宋_GB2312" w:hAnsi="仿宋_GB2312" w:cs="仿宋_GB2312" w:eastAsia="仿宋_GB2312"/>
              </w:rPr>
              <w:t>采购包2：200,000.00元</w:t>
            </w:r>
          </w:p>
          <w:p>
            <w:pPr>
              <w:pStyle w:val="null3"/>
            </w:pPr>
            <w:r>
              <w:rPr>
                <w:rFonts w:ascii="仿宋_GB2312" w:hAnsi="仿宋_GB2312" w:cs="仿宋_GB2312" w:eastAsia="仿宋_GB2312"/>
              </w:rPr>
              <w:t>采购包3：180,000.00元</w:t>
            </w:r>
          </w:p>
          <w:p>
            <w:pPr>
              <w:pStyle w:val="null3"/>
            </w:pPr>
            <w:r>
              <w:rPr>
                <w:rFonts w:ascii="仿宋_GB2312" w:hAnsi="仿宋_GB2312" w:cs="仿宋_GB2312" w:eastAsia="仿宋_GB2312"/>
              </w:rPr>
              <w:t>采购包4：165,000.00元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采购包2保证金金额：3,000.00元</w:t>
            </w:r>
          </w:p>
          <w:p>
            <w:pPr>
              <w:pStyle w:val="null3"/>
            </w:pPr>
            <w:r>
              <w:rPr>
                <w:rFonts w:ascii="仿宋_GB2312" w:hAnsi="仿宋_GB2312" w:cs="仿宋_GB2312" w:eastAsia="仿宋_GB2312"/>
              </w:rPr>
              <w:t>采购包3保证金金额：2,000.00元</w:t>
            </w:r>
          </w:p>
          <w:p>
            <w:pPr>
              <w:pStyle w:val="null3"/>
            </w:pPr>
            <w:r>
              <w:rPr>
                <w:rFonts w:ascii="仿宋_GB2312" w:hAnsi="仿宋_GB2312" w:cs="仿宋_GB2312" w:eastAsia="仿宋_GB2312"/>
              </w:rPr>
              <w:t>采购包4保证金金额：1,000.00元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开户名称：西安辰和工程咨询有限公司</w:t>
            </w:r>
          </w:p>
          <w:p>
            <w:pPr>
              <w:pStyle w:val="null3"/>
            </w:pPr>
            <w:r>
              <w:rPr>
                <w:rFonts w:ascii="仿宋_GB2312" w:hAnsi="仿宋_GB2312" w:cs="仿宋_GB2312" w:eastAsia="仿宋_GB2312"/>
              </w:rPr>
              <w:t>开户银行：西安银行电子正街支行</w:t>
            </w:r>
          </w:p>
          <w:p>
            <w:pPr>
              <w:pStyle w:val="null3"/>
            </w:pPr>
            <w:r>
              <w:rPr>
                <w:rFonts w:ascii="仿宋_GB2312" w:hAnsi="仿宋_GB2312" w:cs="仿宋_GB2312" w:eastAsia="仿宋_GB2312"/>
              </w:rPr>
              <w:t>银行账号：1050 1158 0000 1008 69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代理服务费收费标准：由成交供应商支付代理服务费，本项目各包收取代理服务费5000.00元整。</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采购包3：组织现场踏勘：是</w:t>
            </w:r>
          </w:p>
          <w:p>
            <w:pPr>
              <w:pStyle w:val="null3"/>
              <w:ind w:firstLine="975"/>
            </w:pPr>
            <w:r>
              <w:rPr>
                <w:rFonts w:ascii="仿宋_GB2312" w:hAnsi="仿宋_GB2312" w:cs="仿宋_GB2312" w:eastAsia="仿宋_GB2312"/>
              </w:rPr>
              <w:t>踏勘时间：2025-12-05 09:30:00</w:t>
            </w:r>
          </w:p>
          <w:p>
            <w:pPr>
              <w:pStyle w:val="null3"/>
              <w:ind w:firstLine="975"/>
            </w:pPr>
            <w:r>
              <w:rPr>
                <w:rFonts w:ascii="仿宋_GB2312" w:hAnsi="仿宋_GB2312" w:cs="仿宋_GB2312" w:eastAsia="仿宋_GB2312"/>
              </w:rPr>
              <w:t>踏勘地点：渭南市中心医院</w:t>
            </w:r>
          </w:p>
          <w:p>
            <w:pPr>
              <w:pStyle w:val="null3"/>
              <w:ind w:firstLine="975"/>
            </w:pPr>
            <w:r>
              <w:rPr>
                <w:rFonts w:ascii="仿宋_GB2312" w:hAnsi="仿宋_GB2312" w:cs="仿宋_GB2312" w:eastAsia="仿宋_GB2312"/>
              </w:rPr>
              <w:t>联系人：刘老师</w:t>
            </w:r>
          </w:p>
          <w:p>
            <w:pPr>
              <w:pStyle w:val="null3"/>
              <w:ind w:firstLine="975"/>
            </w:pPr>
            <w:r>
              <w:rPr>
                <w:rFonts w:ascii="仿宋_GB2312" w:hAnsi="仿宋_GB2312" w:cs="仿宋_GB2312" w:eastAsia="仿宋_GB2312"/>
              </w:rPr>
              <w:t>联系电话号码：15929039215</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渭南市中心医院</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按国家标准和规范、合同规定、响应文件条款和磋商文件要求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按国家标准和规范、合同规定、响应文件条款和磋商文件要求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按国家标准和规范、合同规定、响应文件条款和磋商文件要求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按国家标准和规范、合同规定、响应文件条款和磋商文件要求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联系人：齐莎莎</w:t>
      </w:r>
    </w:p>
    <w:p>
      <w:pPr>
        <w:pStyle w:val="null3"/>
      </w:pPr>
      <w:r>
        <w:rPr>
          <w:rFonts w:ascii="仿宋_GB2312" w:hAnsi="仿宋_GB2312" w:cs="仿宋_GB2312" w:eastAsia="仿宋_GB2312"/>
        </w:rPr>
        <w:t>联系电话：029-82286063、029-82285837</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渭南市中心医院互联网统一出口管理及网络优化服务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270,000.00</w:t>
      </w:r>
    </w:p>
    <w:p>
      <w:pPr>
        <w:pStyle w:val="null3"/>
      </w:pPr>
      <w:r>
        <w:rPr>
          <w:rFonts w:ascii="仿宋_GB2312" w:hAnsi="仿宋_GB2312" w:cs="仿宋_GB2312" w:eastAsia="仿宋_GB2312"/>
        </w:rPr>
        <w:t>采购包最高限价（元）: 270,000.00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终端及出口安全提升服务项目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信息系统安全等级保护服务采购项目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180,000.00</w:t>
      </w:r>
    </w:p>
    <w:p>
      <w:pPr>
        <w:pStyle w:val="null3"/>
      </w:pPr>
      <w:r>
        <w:rPr>
          <w:rFonts w:ascii="仿宋_GB2312" w:hAnsi="仿宋_GB2312" w:cs="仿宋_GB2312" w:eastAsia="仿宋_GB2312"/>
        </w:rPr>
        <w:t>采购包最高限价（元）: 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互联网统一出口管理及网络优化服务项目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165,000.00</w:t>
      </w:r>
    </w:p>
    <w:p>
      <w:pPr>
        <w:pStyle w:val="null3"/>
      </w:pPr>
      <w:r>
        <w:rPr>
          <w:rFonts w:ascii="仿宋_GB2312" w:hAnsi="仿宋_GB2312" w:cs="仿宋_GB2312" w:eastAsia="仿宋_GB2312"/>
        </w:rPr>
        <w:t>采购包最高限价（元）: 165,000.00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智慧管理中心提升改进项目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标的名称：终端及出口安全提升服务项目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采购清单和技术要求</w:t>
            </w:r>
          </w:p>
          <w:p>
            <w:pPr>
              <w:pStyle w:val="null3"/>
              <w:jc w:val="both"/>
            </w:pPr>
            <w:r>
              <w:rPr>
                <w:rFonts w:ascii="仿宋_GB2312" w:hAnsi="仿宋_GB2312" w:cs="仿宋_GB2312" w:eastAsia="仿宋_GB2312"/>
                <w:sz w:val="24"/>
                <w:b/>
              </w:rPr>
              <w:t>（一）采购清单</w:t>
            </w:r>
          </w:p>
          <w:tbl>
            <w:tblPr>
              <w:tblBorders>
                <w:top w:val="none" w:color="000000" w:sz="4"/>
                <w:left w:val="none" w:color="000000" w:sz="4"/>
                <w:bottom w:val="none" w:color="000000" w:sz="4"/>
                <w:right w:val="none" w:color="000000" w:sz="4"/>
                <w:insideH w:val="none"/>
                <w:insideV w:val="none"/>
              </w:tblBorders>
            </w:tblPr>
            <w:tblGrid>
              <w:gridCol w:w="507"/>
              <w:gridCol w:w="1349"/>
              <w:gridCol w:w="698"/>
            </w:tblGrid>
            <w:tr>
              <w:tc>
                <w:tcPr>
                  <w:tcW w:type="dxa" w:w="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13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货物名称</w:t>
                  </w:r>
                </w:p>
              </w:tc>
              <w:tc>
                <w:tcPr>
                  <w:tcW w:type="dxa" w:w="6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数量及单位</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防火墙系统</w:t>
                  </w:r>
                </w:p>
              </w:tc>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防病毒系统网络版</w:t>
                  </w:r>
                </w:p>
              </w:tc>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r>
          </w:tbl>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技术规格要求</w:t>
            </w:r>
          </w:p>
          <w:p>
            <w:pPr>
              <w:pStyle w:val="null3"/>
              <w:jc w:val="both"/>
            </w:pPr>
            <w:r>
              <w:rPr>
                <w:rFonts w:ascii="仿宋_GB2312" w:hAnsi="仿宋_GB2312" w:cs="仿宋_GB2312" w:eastAsia="仿宋_GB2312"/>
                <w:sz w:val="24"/>
                <w:b/>
              </w:rPr>
              <w:t>2.1防火墙系统</w:t>
            </w:r>
          </w:p>
          <w:tbl>
            <w:tblPr>
              <w:tblInd w:type="dxa" w:w="120"/>
              <w:tblBorders>
                <w:top w:val="none" w:color="000000" w:sz="4"/>
                <w:left w:val="none" w:color="000000" w:sz="4"/>
                <w:bottom w:val="none" w:color="000000" w:sz="4"/>
                <w:right w:val="none" w:color="000000" w:sz="4"/>
                <w:insideH w:val="none"/>
                <w:insideV w:val="none"/>
              </w:tblBorders>
            </w:tblPr>
            <w:tblGrid>
              <w:gridCol w:w="422"/>
              <w:gridCol w:w="2130"/>
            </w:tblGrid>
            <w:tr>
              <w:tc>
                <w:tcPr>
                  <w:tcW w:type="dxa" w:w="42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rPr>
                    <w:t>类别</w:t>
                  </w:r>
                </w:p>
              </w:tc>
              <w:tc>
                <w:tcPr>
                  <w:tcW w:type="dxa" w:w="2130"/>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rPr>
                    <w:t>需求参数</w:t>
                  </w:r>
                </w:p>
              </w:tc>
            </w:tr>
            <w:tr>
              <w:tc>
                <w:tcPr>
                  <w:tcW w:type="dxa" w:w="4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★硬件要求</w:t>
                  </w:r>
                </w:p>
              </w:tc>
              <w:tc>
                <w:tcPr>
                  <w:tcW w:type="dxa" w:w="21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2U机架式设备，内存≥16G，硬盘≥1T，接口≥6个千兆电口+4个千兆光插槽+4个万兆SFP+接口，冗余电源；预留1个接口扩展槽位。</w:t>
                  </w:r>
                </w:p>
              </w:tc>
            </w:tr>
            <w:tr>
              <w:tc>
                <w:tcPr>
                  <w:tcW w:type="dxa" w:w="4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系统要求</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产品需由专用的硬件平台、安全操作系统及功能软件构成。设备采用自主知识产权的专用安全操作系统，采用多核多平台并行处理机制；（提供相应资质证明）</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★性能参数</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防火墙吞吐</w:t>
                  </w:r>
                  <w:r>
                    <w:rPr>
                      <w:rFonts w:ascii="仿宋_GB2312" w:hAnsi="仿宋_GB2312" w:cs="仿宋_GB2312" w:eastAsia="仿宋_GB2312"/>
                      <w:sz w:val="21"/>
                    </w:rPr>
                    <w:t>≥20G，并发连接≥500万，每秒新建连接≥16万，应用层吞量≥16G，全威胁吞吐量≥2.5G，SSLVPN吞吐≥2.5G，SSL VPN 并发用户数≥5000。配置50个点的SSL客户端授权。</w:t>
                  </w:r>
                </w:p>
              </w:tc>
            </w:tr>
            <w:tr>
              <w:tc>
                <w:tcPr>
                  <w:tcW w:type="dxa" w:w="4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网络功能</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支持路由、交换、虚拟线、</w:t>
                  </w:r>
                  <w:r>
                    <w:rPr>
                      <w:rFonts w:ascii="仿宋_GB2312" w:hAnsi="仿宋_GB2312" w:cs="仿宋_GB2312" w:eastAsia="仿宋_GB2312"/>
                      <w:sz w:val="21"/>
                    </w:rPr>
                    <w:t>Listening、混合工作模式；</w:t>
                  </w:r>
                </w:p>
              </w:tc>
            </w:tr>
            <w:tr>
              <w:tc>
                <w:tcPr>
                  <w:tcW w:type="dxa" w:w="422"/>
                  <w:vMerge/>
                  <w:tcBorders>
                    <w:top w:val="none" w:color="000000" w:sz="4"/>
                    <w:left w:val="single" w:color="000000" w:sz="4"/>
                    <w:bottom w:val="single" w:color="000000" w:sz="4"/>
                    <w:right w:val="single" w:color="000000" w:sz="4"/>
                  </w:tcBorders>
                </w:tcP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RIP、OSPF、BGP4、QinQ（VLAN VPN）、PIM-SM、PIM-DM；（提供截图）</w:t>
                  </w:r>
                </w:p>
              </w:tc>
            </w:tr>
            <w:tr>
              <w:tc>
                <w:tcPr>
                  <w:tcW w:type="dxa" w:w="422"/>
                  <w:vMerge/>
                  <w:tcBorders>
                    <w:top w:val="none" w:color="000000" w:sz="4"/>
                    <w:left w:val="single" w:color="000000" w:sz="4"/>
                    <w:bottom w:val="single" w:color="000000" w:sz="4"/>
                    <w:right w:val="single" w:color="000000" w:sz="4"/>
                  </w:tcBorders>
                </w:tcP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IP/MAC绑定，支持跨三层绑定，支持IP/MAC绑定表导入导出，以便对IP/MAC绑定关系进行批量操作；</w:t>
                  </w:r>
                </w:p>
              </w:tc>
            </w:tr>
            <w:tr>
              <w:tc>
                <w:tcPr>
                  <w:tcW w:type="dxa" w:w="422"/>
                  <w:vMerge/>
                  <w:tcBorders>
                    <w:top w:val="none" w:color="000000" w:sz="4"/>
                    <w:left w:val="single" w:color="000000" w:sz="4"/>
                    <w:bottom w:val="single" w:color="000000" w:sz="4"/>
                    <w:right w:val="single" w:color="000000" w:sz="4"/>
                  </w:tcBorders>
                </w:tcP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支持多种地址转换，支持源</w:t>
                  </w:r>
                  <w:r>
                    <w:rPr>
                      <w:rFonts w:ascii="仿宋_GB2312" w:hAnsi="仿宋_GB2312" w:cs="仿宋_GB2312" w:eastAsia="仿宋_GB2312"/>
                      <w:sz w:val="21"/>
                    </w:rPr>
                    <w:t>/目的NAT、双向NAT、NoNAT转换方式；支持源IP转换同一性；支持端口块地址转换和EIM地址转换</w:t>
                  </w:r>
                </w:p>
              </w:tc>
            </w:tr>
            <w:tr>
              <w:tc>
                <w:tcPr>
                  <w:tcW w:type="dxa" w:w="422"/>
                  <w:vMerge/>
                  <w:tcBorders>
                    <w:top w:val="none" w:color="000000" w:sz="4"/>
                    <w:left w:val="single" w:color="000000" w:sz="4"/>
                    <w:bottom w:val="single" w:color="000000" w:sz="4"/>
                    <w:right w:val="single" w:color="000000" w:sz="4"/>
                  </w:tcBorders>
                </w:tcP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防火墙作为</w:t>
                  </w:r>
                  <w:r>
                    <w:rPr>
                      <w:rFonts w:ascii="仿宋_GB2312" w:hAnsi="仿宋_GB2312" w:cs="仿宋_GB2312" w:eastAsia="仿宋_GB2312"/>
                      <w:sz w:val="21"/>
                    </w:rPr>
                    <w:t>DNS服务器可依据访问地址来源将服务器域名解析为内部地址或外部地址，同时支持通过配置多条转换策略，实现内网资源服务器的负载均衡；（提供截图）；</w:t>
                  </w:r>
                </w:p>
              </w:tc>
            </w:tr>
            <w:tr>
              <w:tc>
                <w:tcPr>
                  <w:tcW w:type="dxa" w:w="4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访问控制功能</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支持一体化安全策略配置，可以通过一条策略实现五元组、源</w:t>
                  </w:r>
                  <w:r>
                    <w:rPr>
                      <w:rFonts w:ascii="仿宋_GB2312" w:hAnsi="仿宋_GB2312" w:cs="仿宋_GB2312" w:eastAsia="仿宋_GB2312"/>
                      <w:sz w:val="21"/>
                    </w:rPr>
                    <w:t>MAC、源地区、目的地区、域名、应用、服务、时间、长连接、并发会话等功能配置,简化用户管理；</w:t>
                  </w:r>
                </w:p>
              </w:tc>
            </w:tr>
            <w:tr>
              <w:tc>
                <w:tcPr>
                  <w:tcW w:type="dxa" w:w="422"/>
                  <w:vMerge/>
                  <w:tcBorders>
                    <w:top w:val="none" w:color="000000" w:sz="4"/>
                    <w:left w:val="single" w:color="000000" w:sz="4"/>
                    <w:bottom w:val="single" w:color="000000" w:sz="4"/>
                    <w:right w:val="single" w:color="000000" w:sz="4"/>
                  </w:tcBorders>
                </w:tcP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支持域名控制，支持对多级域名进行控制，域名对象支持通配符；</w:t>
                  </w:r>
                </w:p>
              </w:tc>
            </w:tr>
            <w:tr>
              <w:tc>
                <w:tcPr>
                  <w:tcW w:type="dxa" w:w="422"/>
                  <w:vMerge/>
                  <w:tcBorders>
                    <w:top w:val="none" w:color="000000" w:sz="4"/>
                    <w:left w:val="single" w:color="000000" w:sz="4"/>
                    <w:bottom w:val="single" w:color="000000" w:sz="4"/>
                    <w:right w:val="single" w:color="000000" w:sz="4"/>
                  </w:tcBorders>
                </w:tcP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访问控制策略执行动作支持放行、阻断、认证、收集，对需要认证的流量进行</w:t>
                  </w:r>
                  <w:r>
                    <w:rPr>
                      <w:rFonts w:ascii="仿宋_GB2312" w:hAnsi="仿宋_GB2312" w:cs="仿宋_GB2312" w:eastAsia="仿宋_GB2312"/>
                      <w:sz w:val="21"/>
                    </w:rPr>
                    <w:t>Web认证，策略中可设置用户 Web 认证的门户地址或收集策略流量访问记录，生成更细粒的策略；</w:t>
                  </w:r>
                </w:p>
              </w:tc>
            </w:tr>
            <w:tr>
              <w:tc>
                <w:tcPr>
                  <w:tcW w:type="dxa" w:w="422"/>
                  <w:vMerge/>
                  <w:tcBorders>
                    <w:top w:val="none" w:color="000000" w:sz="4"/>
                    <w:left w:val="single" w:color="000000" w:sz="4"/>
                    <w:bottom w:val="single" w:color="000000" w:sz="4"/>
                    <w:right w:val="single" w:color="000000" w:sz="4"/>
                  </w:tcBorders>
                </w:tcP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提供策略分析功能，支持策略命中分析、策略冗余分析、策略冲突检查、策略包含分析、宽泛策略分析，可在</w:t>
                  </w:r>
                  <w:r>
                    <w:rPr>
                      <w:rFonts w:ascii="仿宋_GB2312" w:hAnsi="仿宋_GB2312" w:cs="仿宋_GB2312" w:eastAsia="仿宋_GB2312"/>
                      <w:sz w:val="21"/>
                    </w:rPr>
                    <w:t>WEB界面显示检测结果；</w:t>
                  </w:r>
                </w:p>
              </w:tc>
            </w:tr>
            <w:tr>
              <w:tc>
                <w:tcPr>
                  <w:tcW w:type="dxa" w:w="422"/>
                  <w:vMerge/>
                  <w:tcBorders>
                    <w:top w:val="none" w:color="000000" w:sz="4"/>
                    <w:left w:val="single" w:color="000000" w:sz="4"/>
                    <w:bottom w:val="single" w:color="000000" w:sz="4"/>
                    <w:right w:val="single" w:color="000000" w:sz="4"/>
                  </w:tcBorders>
                </w:tcP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支持进行重复对象分析，可以对已配置的部分资源项（地址、地址组、服务、服务组、时间、时间组）进行重复性检测；</w:t>
                  </w:r>
                </w:p>
              </w:tc>
            </w:tr>
            <w:tr>
              <w:tc>
                <w:tcPr>
                  <w:tcW w:type="dxa" w:w="422"/>
                  <w:vMerge/>
                  <w:tcBorders>
                    <w:top w:val="none" w:color="000000" w:sz="4"/>
                    <w:left w:val="single" w:color="000000" w:sz="4"/>
                    <w:bottom w:val="single" w:color="000000" w:sz="4"/>
                    <w:right w:val="single" w:color="000000" w:sz="4"/>
                  </w:tcBorders>
                </w:tcP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提供策略查询功能，支持五元组快速查询以及针对策略名、源</w:t>
                  </w:r>
                  <w:r>
                    <w:rPr>
                      <w:rFonts w:ascii="仿宋_GB2312" w:hAnsi="仿宋_GB2312" w:cs="仿宋_GB2312" w:eastAsia="仿宋_GB2312"/>
                      <w:sz w:val="21"/>
                    </w:rPr>
                    <w:t>/目的区域、源/目的地址、服务、对象、未命中时间等条件进行细粒度检索，支持策略模拟匹配；（提供截图）</w:t>
                  </w:r>
                </w:p>
              </w:tc>
            </w:tr>
            <w:tr>
              <w:tc>
                <w:tcPr>
                  <w:tcW w:type="dxa" w:w="4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IPv6</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NAT64、NAT46、NAT66地址转换，支持6to4隧道、ISATAP隧道；</w:t>
                  </w:r>
                </w:p>
              </w:tc>
            </w:tr>
            <w:tr>
              <w:tc>
                <w:tcPr>
                  <w:tcW w:type="dxa" w:w="422"/>
                  <w:vMerge/>
                  <w:tcBorders>
                    <w:top w:val="none" w:color="000000" w:sz="4"/>
                    <w:left w:val="single" w:color="000000" w:sz="4"/>
                    <w:bottom w:val="single" w:color="000000" w:sz="4"/>
                    <w:right w:val="single" w:color="000000" w:sz="4"/>
                  </w:tcBorders>
                </w:tcP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IPv6域名控制，支持对多级域名进行控制，域名对象支持通配符；</w:t>
                  </w:r>
                </w:p>
              </w:tc>
            </w:tr>
            <w:tr>
              <w:tc>
                <w:tcPr>
                  <w:tcW w:type="dxa" w:w="4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虚拟系统</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支持配置文件、系统服务、路由、链路聚合、安全策略、</w:t>
                  </w:r>
                  <w:r>
                    <w:rPr>
                      <w:rFonts w:ascii="仿宋_GB2312" w:hAnsi="仿宋_GB2312" w:cs="仿宋_GB2312" w:eastAsia="仿宋_GB2312"/>
                      <w:sz w:val="21"/>
                    </w:rPr>
                    <w:t>NAT策略、带宽管理、认证策略、IPV6功能、URL过滤、病毒过滤、WAF、僵木蠕、高级威胁防护、内容过滤、邮件安全、审计、报表、防代理等安全功能虚拟化；</w:t>
                  </w:r>
                </w:p>
              </w:tc>
            </w:tr>
            <w:tr>
              <w:tc>
                <w:tcPr>
                  <w:tcW w:type="dxa" w:w="422"/>
                  <w:vMerge/>
                  <w:tcBorders>
                    <w:top w:val="none" w:color="000000" w:sz="4"/>
                    <w:left w:val="single" w:color="000000" w:sz="4"/>
                    <w:bottom w:val="single" w:color="000000" w:sz="4"/>
                    <w:right w:val="single" w:color="000000" w:sz="4"/>
                  </w:tcBorders>
                </w:tcP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支持在一台物理设备上划分出多个相互独立的虚拟系统，可根据连接配额及连接新建速率为每个虚拟系统分配资源，实配不少于</w:t>
                  </w:r>
                  <w:r>
                    <w:rPr>
                      <w:rFonts w:ascii="仿宋_GB2312" w:hAnsi="仿宋_GB2312" w:cs="仿宋_GB2312" w:eastAsia="仿宋_GB2312"/>
                      <w:sz w:val="21"/>
                    </w:rPr>
                    <w:t>20个虚拟防火墙授权；（提供截图）</w:t>
                  </w:r>
                </w:p>
              </w:tc>
            </w:tr>
            <w:tr>
              <w:tc>
                <w:tcPr>
                  <w:tcW w:type="dxa" w:w="4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应用管控</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支持链路和四层通道嵌套的流量控制功能，可基于上下行区域、地址、地理对象、用户</w:t>
                  </w:r>
                  <w:r>
                    <w:rPr>
                      <w:rFonts w:ascii="仿宋_GB2312" w:hAnsi="仿宋_GB2312" w:cs="仿宋_GB2312" w:eastAsia="仿宋_GB2312"/>
                      <w:sz w:val="21"/>
                    </w:rPr>
                    <w:t>/用户组、服务/服务组、应用/应用组和时间等配置带宽策略，支持带宽策略优先级和针对IP、应用设置白名单；（提供截图）</w:t>
                  </w:r>
                </w:p>
              </w:tc>
            </w:tr>
            <w:tr>
              <w:tc>
                <w:tcPr>
                  <w:tcW w:type="dxa" w:w="422"/>
                  <w:vMerge/>
                  <w:tcBorders>
                    <w:top w:val="none" w:color="000000" w:sz="4"/>
                    <w:left w:val="single" w:color="000000" w:sz="4"/>
                    <w:bottom w:val="single" w:color="000000" w:sz="4"/>
                    <w:right w:val="single" w:color="000000" w:sz="4"/>
                  </w:tcBorders>
                </w:tcP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支持对指定的源</w:t>
                  </w:r>
                  <w:r>
                    <w:rPr>
                      <w:rFonts w:ascii="仿宋_GB2312" w:hAnsi="仿宋_GB2312" w:cs="仿宋_GB2312" w:eastAsia="仿宋_GB2312"/>
                      <w:sz w:val="21"/>
                    </w:rPr>
                    <w:t>/目的地址对象、源/目的地理对象、应用制定连接限制策略，可控制所有或单IP会话总数及单IP新建连接数；（提供截图）</w:t>
                  </w:r>
                </w:p>
              </w:tc>
            </w:tr>
            <w:tr>
              <w:tc>
                <w:tcPr>
                  <w:tcW w:type="dxa" w:w="4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DDOS防御</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支持针对</w:t>
                  </w:r>
                  <w:r>
                    <w:rPr>
                      <w:rFonts w:ascii="仿宋_GB2312" w:hAnsi="仿宋_GB2312" w:cs="仿宋_GB2312" w:eastAsia="仿宋_GB2312"/>
                      <w:sz w:val="21"/>
                    </w:rPr>
                    <w:t>IP、ICMP、TCP、UDP、DNS、HTTP、HTTPS、SIP、NTP等协议进行DDOS防护；</w:t>
                  </w:r>
                </w:p>
              </w:tc>
            </w:tr>
            <w:tr>
              <w:tc>
                <w:tcPr>
                  <w:tcW w:type="dxa" w:w="422"/>
                  <w:vMerge/>
                  <w:tcBorders>
                    <w:top w:val="none" w:color="000000" w:sz="4"/>
                    <w:left w:val="single" w:color="000000" w:sz="4"/>
                    <w:bottom w:val="single" w:color="000000" w:sz="4"/>
                    <w:right w:val="single" w:color="000000" w:sz="4"/>
                  </w:tcBorders>
                </w:tcP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NTP DDOS防护，</w:t>
                  </w:r>
                  <w:r>
                    <w:rPr>
                      <w:rFonts w:ascii="仿宋_GB2312" w:hAnsi="仿宋_GB2312" w:cs="仿宋_GB2312" w:eastAsia="仿宋_GB2312"/>
                      <w:sz w:val="21"/>
                    </w:rPr>
                    <w:t>采用阀值检查</w:t>
                  </w:r>
                  <w:r>
                    <w:rPr>
                      <w:rFonts w:ascii="仿宋_GB2312" w:hAnsi="仿宋_GB2312" w:cs="仿宋_GB2312" w:eastAsia="仿宋_GB2312"/>
                      <w:sz w:val="21"/>
                    </w:rPr>
                    <w:t>、源</w:t>
                  </w:r>
                  <w:r>
                    <w:rPr>
                      <w:rFonts w:ascii="仿宋_GB2312" w:hAnsi="仿宋_GB2312" w:cs="仿宋_GB2312" w:eastAsia="仿宋_GB2312"/>
                      <w:sz w:val="21"/>
                    </w:rPr>
                    <w:t>/目的限流、源认证等方式综合进行NTP QUERY FLOOD、NTP REPLY FLOOD攻击防护；（提供截图）</w:t>
                  </w:r>
                </w:p>
              </w:tc>
            </w:tr>
            <w:tr>
              <w:tc>
                <w:tcPr>
                  <w:tcW w:type="dxa" w:w="422"/>
                  <w:vMerge/>
                  <w:tcBorders>
                    <w:top w:val="none" w:color="000000" w:sz="4"/>
                    <w:left w:val="single" w:color="000000" w:sz="4"/>
                    <w:bottom w:val="single" w:color="000000" w:sz="4"/>
                    <w:right w:val="single" w:color="000000" w:sz="4"/>
                  </w:tcBorders>
                </w:tcP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HTTPS DDOS防护，采用阀值检查、源/目的限流方式进行HTTPS FLOOD攻击防护；（提供截图）</w:t>
                  </w:r>
                </w:p>
              </w:tc>
            </w:tr>
            <w:tr>
              <w:tc>
                <w:tcPr>
                  <w:tcW w:type="dxa" w:w="4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信息防泄漏</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内置数据过滤功能，支持</w:t>
                  </w:r>
                  <w:r>
                    <w:rPr>
                      <w:rFonts w:ascii="仿宋_GB2312" w:hAnsi="仿宋_GB2312" w:cs="仿宋_GB2312" w:eastAsia="仿宋_GB2312"/>
                      <w:sz w:val="21"/>
                    </w:rPr>
                    <w:t>HTTP、FTP、POP3、SMTP等协议，可对预置身份证号、护照号、银行卡号、手机号等敏感信息和自定义关键字进行过滤，可对FTP命令和邮件标题、正文、附件、收发件人进行过滤；</w:t>
                  </w:r>
                </w:p>
              </w:tc>
            </w:tr>
            <w:tr>
              <w:tc>
                <w:tcPr>
                  <w:tcW w:type="dxa" w:w="422"/>
                  <w:vMerge/>
                  <w:tcBorders>
                    <w:top w:val="none" w:color="000000" w:sz="4"/>
                    <w:left w:val="single" w:color="000000" w:sz="4"/>
                    <w:bottom w:val="single" w:color="000000" w:sz="4"/>
                    <w:right w:val="single" w:color="000000" w:sz="4"/>
                  </w:tcBorders>
                </w:tcP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内置文件过滤功能，支持识别超过</w:t>
                  </w:r>
                  <w:r>
                    <w:rPr>
                      <w:rFonts w:ascii="仿宋_GB2312" w:hAnsi="仿宋_GB2312" w:cs="仿宋_GB2312" w:eastAsia="仿宋_GB2312"/>
                      <w:sz w:val="21"/>
                    </w:rPr>
                    <w:t>300种文件类型，对无法识别文件、更改文件后缀、缺失文件后缀等常见规避手段处理过的文件内容进行检查。（提供截图）</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DNS安全</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支持独立的</w:t>
                  </w:r>
                  <w:r>
                    <w:rPr>
                      <w:rFonts w:ascii="仿宋_GB2312" w:hAnsi="仿宋_GB2312" w:cs="仿宋_GB2312" w:eastAsia="仿宋_GB2312"/>
                      <w:sz w:val="21"/>
                    </w:rPr>
                    <w:t>DNS安全模块，可对用户端进行DNS报文检查、DGA检测、DNS反射放大检测，可对服务端进行DNS报文检查、NX防御，DNS安全模块能自动生成动态非法地址表和动态非法域名表；（提供截图）</w:t>
                  </w:r>
                </w:p>
              </w:tc>
            </w:tr>
            <w:tr>
              <w:tc>
                <w:tcPr>
                  <w:tcW w:type="dxa" w:w="4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资产管理</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支持管理员手动添加、批量导入、设备主动扫描、漏扫资产上报等多种资产信息获取方式，支持基于访问流量自动识别发现资产；</w:t>
                  </w:r>
                </w:p>
              </w:tc>
            </w:tr>
            <w:tr>
              <w:tc>
                <w:tcPr>
                  <w:tcW w:type="dxa" w:w="422"/>
                  <w:vMerge/>
                  <w:tcBorders>
                    <w:top w:val="none" w:color="000000" w:sz="4"/>
                    <w:left w:val="single" w:color="000000" w:sz="4"/>
                    <w:bottom w:val="single" w:color="000000" w:sz="4"/>
                    <w:right w:val="single" w:color="000000" w:sz="4"/>
                  </w:tcBorders>
                </w:tcP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支持通过学习资产的访问流量、访问次数数据，生成资产行为画像，实际行为出现偏差时判定异常并产生告警；（提供截图）</w:t>
                  </w:r>
                </w:p>
              </w:tc>
            </w:tr>
            <w:tr>
              <w:tc>
                <w:tcPr>
                  <w:tcW w:type="dxa" w:w="422"/>
                  <w:vMerge/>
                  <w:tcBorders>
                    <w:top w:val="none" w:color="000000" w:sz="4"/>
                    <w:left w:val="single" w:color="000000" w:sz="4"/>
                    <w:bottom w:val="single" w:color="000000" w:sz="4"/>
                    <w:right w:val="single" w:color="000000" w:sz="4"/>
                  </w:tcBorders>
                </w:tcP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支持对网络资产进行一键检查，获取网络中资产信息、分析资产安全状态，一键完成风险资产安全防护；</w:t>
                  </w:r>
                </w:p>
              </w:tc>
            </w:tr>
            <w:tr>
              <w:tc>
                <w:tcPr>
                  <w:tcW w:type="dxa" w:w="4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★服务要求</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要求提供三年原厂软硬件的免费维保服</w:t>
                  </w:r>
                  <w:r>
                    <w:rPr>
                      <w:rFonts w:ascii="仿宋_GB2312" w:hAnsi="仿宋_GB2312" w:cs="仿宋_GB2312" w:eastAsia="仿宋_GB2312"/>
                      <w:sz w:val="21"/>
                    </w:rPr>
                    <w:t>务及软件特征库升级；</w:t>
                  </w:r>
                </w:p>
              </w:tc>
            </w:tr>
            <w:tr>
              <w:tc>
                <w:tcPr>
                  <w:tcW w:type="dxa" w:w="422"/>
                  <w:vMerge/>
                  <w:tcBorders>
                    <w:top w:val="none" w:color="000000" w:sz="4"/>
                    <w:left w:val="single" w:color="000000" w:sz="4"/>
                    <w:bottom w:val="single" w:color="000000" w:sz="4"/>
                    <w:right w:val="single" w:color="000000" w:sz="4"/>
                  </w:tcBorders>
                </w:tcP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需提供厂商授权书及三年原厂售后服务承诺函。</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★资质要求</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具备防火墙密码检测证书；</w:t>
                  </w:r>
                </w:p>
                <w:p>
                  <w:pPr>
                    <w:pStyle w:val="null3"/>
                    <w:jc w:val="both"/>
                  </w:pPr>
                  <w:r>
                    <w:rPr>
                      <w:rFonts w:ascii="仿宋_GB2312" w:hAnsi="仿宋_GB2312" w:cs="仿宋_GB2312" w:eastAsia="仿宋_GB2312"/>
                      <w:sz w:val="21"/>
                    </w:rPr>
                    <w:t>具备国家信息安全测评信息安全服务资质证书（安全工程类）三级</w:t>
                  </w:r>
                  <w:r>
                    <w:rPr>
                      <w:rFonts w:ascii="仿宋_GB2312" w:hAnsi="仿宋_GB2312" w:cs="仿宋_GB2312" w:eastAsia="仿宋_GB2312"/>
                      <w:sz w:val="21"/>
                    </w:rPr>
                    <w:t>及以上</w:t>
                  </w:r>
                </w:p>
              </w:tc>
            </w:tr>
          </w:tbl>
          <w:p>
            <w:pPr>
              <w:pStyle w:val="null3"/>
              <w:jc w:val="both"/>
            </w:pPr>
            <w:r>
              <w:rPr>
                <w:rFonts w:ascii="仿宋_GB2312" w:hAnsi="仿宋_GB2312" w:cs="仿宋_GB2312" w:eastAsia="仿宋_GB2312"/>
                <w:sz w:val="24"/>
                <w:b/>
              </w:rPr>
              <w:t>2.2防病毒系统网络版</w:t>
            </w:r>
          </w:p>
          <w:tbl>
            <w:tblPr>
              <w:tblInd w:type="dxa" w:w="120"/>
              <w:tblBorders>
                <w:top w:val="none" w:color="000000" w:sz="4"/>
                <w:left w:val="none" w:color="000000" w:sz="4"/>
                <w:bottom w:val="none" w:color="000000" w:sz="4"/>
                <w:right w:val="none" w:color="000000" w:sz="4"/>
                <w:insideH w:val="none"/>
                <w:insideV w:val="none"/>
              </w:tblBorders>
            </w:tblPr>
            <w:tblGrid>
              <w:gridCol w:w="450"/>
              <w:gridCol w:w="2101"/>
            </w:tblGrid>
            <w:tr>
              <w:tc>
                <w:tcPr>
                  <w:tcW w:type="dxa" w:w="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★服务要求</w:t>
                  </w:r>
                </w:p>
              </w:tc>
              <w:tc>
                <w:tcPr>
                  <w:tcW w:type="dxa" w:w="21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1、项目服务范围为渭南市中心医院所有终端电脑及服务器系统。</w:t>
                  </w:r>
                </w:p>
                <w:p>
                  <w:pPr>
                    <w:pStyle w:val="null3"/>
                    <w:jc w:val="both"/>
                  </w:pPr>
                  <w:r>
                    <w:rPr>
                      <w:rFonts w:ascii="仿宋_GB2312" w:hAnsi="仿宋_GB2312" w:cs="仿宋_GB2312" w:eastAsia="仿宋_GB2312"/>
                      <w:sz w:val="24"/>
                    </w:rPr>
                    <w:t>2、同时管理windows、国产化等环境。</w:t>
                  </w:r>
                </w:p>
                <w:p>
                  <w:pPr>
                    <w:pStyle w:val="null3"/>
                    <w:jc w:val="both"/>
                  </w:pPr>
                  <w:r>
                    <w:rPr>
                      <w:rFonts w:ascii="仿宋_GB2312" w:hAnsi="仿宋_GB2312" w:cs="仿宋_GB2312" w:eastAsia="仿宋_GB2312"/>
                      <w:sz w:val="24"/>
                    </w:rPr>
                    <w:t>3、服务内容（包括采购品目、规格和数量）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1）防病毒系统网络版1套，至少含100个Linux服务器端/客户</w:t>
                  </w:r>
                  <w:r>
                    <w:rPr>
                      <w:rFonts w:ascii="仿宋_GB2312" w:hAnsi="仿宋_GB2312" w:cs="仿宋_GB2312" w:eastAsia="仿宋_GB2312"/>
                      <w:sz w:val="24"/>
                    </w:rPr>
                    <w:t>端</w:t>
                  </w:r>
                  <w:r>
                    <w:rPr>
                      <w:rFonts w:ascii="仿宋_GB2312" w:hAnsi="仿宋_GB2312" w:cs="仿宋_GB2312" w:eastAsia="仿宋_GB2312"/>
                      <w:sz w:val="24"/>
                    </w:rPr>
                    <w:t>、</w:t>
                  </w:r>
                  <w:r>
                    <w:rPr>
                      <w:rFonts w:ascii="仿宋_GB2312" w:hAnsi="仿宋_GB2312" w:cs="仿宋_GB2312" w:eastAsia="仿宋_GB2312"/>
                      <w:sz w:val="24"/>
                    </w:rPr>
                    <w:t>300个Windows服务器端</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00个Windows客户端</w:t>
                  </w:r>
                  <w:r>
                    <w:rPr>
                      <w:rFonts w:ascii="仿宋_GB2312" w:hAnsi="仿宋_GB2312" w:cs="仿宋_GB2312" w:eastAsia="仿宋_GB2312"/>
                      <w:sz w:val="24"/>
                    </w:rPr>
                    <w:t>授权</w:t>
                  </w:r>
                  <w:r>
                    <w:rPr>
                      <w:rFonts w:ascii="仿宋_GB2312" w:hAnsi="仿宋_GB2312" w:cs="仿宋_GB2312" w:eastAsia="仿宋_GB2312"/>
                      <w:sz w:val="24"/>
                    </w:rPr>
                    <w:t>；</w:t>
                  </w:r>
                </w:p>
              </w:tc>
            </w:tr>
            <w:tr>
              <w:tc>
                <w:tcPr>
                  <w:tcW w:type="dxa" w:w="4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管理与病毒防护功能</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控制中心：采用</w:t>
                  </w:r>
                  <w:r>
                    <w:rPr>
                      <w:rFonts w:ascii="仿宋_GB2312" w:hAnsi="仿宋_GB2312" w:cs="仿宋_GB2312" w:eastAsia="仿宋_GB2312"/>
                      <w:sz w:val="24"/>
                    </w:rPr>
                    <w:t>B/S架构管理端，具备设备分组管理、策略制定下发、全网健康状况监测、统一杀毒、统一漏洞修复、网络流量管理、终端软件管理、基线检查以及各种报表和查询等功能。支持对 Windows XP、Windows 7、Windows 8、Windows 10 、Windows Server 2003、2008、2012、2016、2019、2022等 32 位/64 位windows操作系统、国内外主流 Linux 操作系统以及统信、中标麒麟、银河麒麟、湖南麒麟等国产操作系统进行统一管理、统一升级。</w:t>
                  </w:r>
                </w:p>
              </w:tc>
            </w:tr>
            <w:tr>
              <w:tc>
                <w:tcPr>
                  <w:tcW w:type="dxa" w:w="45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感染型病毒专杀功能，除管理中心专用的感染型病毒专杀工具之外，可直接在引擎中打开开启</w:t>
                  </w:r>
                  <w:r>
                    <w:rPr>
                      <w:rFonts w:ascii="仿宋_GB2312" w:hAnsi="仿宋_GB2312" w:cs="仿宋_GB2312" w:eastAsia="仿宋_GB2312"/>
                      <w:sz w:val="24"/>
                    </w:rPr>
                    <w:t>Sality、Synaptics、Ramnit感染型查杀，正常查杀即可解决感染型病毒问题。（需提供功能截图，并加盖厂商公章）</w:t>
                  </w:r>
                </w:p>
              </w:tc>
            </w:tr>
            <w:tr>
              <w:tc>
                <w:tcPr>
                  <w:tcW w:type="dxa" w:w="45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提供专门的信创客户端安装程序下载交互界面，支持按租户组织架构提供专用信创客户端分组安装程序，并支持租户安装程序搜索功能；（需提供功能截图，并加盖厂商公章）</w:t>
                  </w:r>
                </w:p>
              </w:tc>
            </w:tr>
            <w:tr>
              <w:tc>
                <w:tcPr>
                  <w:tcW w:type="dxa" w:w="45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支持终端保护密码，设置密码后，终端退出或卸载杀毒都需要输入正确的密码方可执行。（需提供功能截图，并加盖厂商公章）</w:t>
                  </w:r>
                </w:p>
              </w:tc>
            </w:tr>
            <w:tr>
              <w:tc>
                <w:tcPr>
                  <w:tcW w:type="dxa" w:w="45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w:t>
                  </w:r>
                  <w:r>
                    <w:rPr>
                      <w:rFonts w:ascii="仿宋_GB2312" w:hAnsi="仿宋_GB2312" w:cs="仿宋_GB2312" w:eastAsia="仿宋_GB2312"/>
                      <w:sz w:val="24"/>
                    </w:rPr>
                    <w:t>HTTPS加密协议登录方式，有效支持保密用户使用。</w:t>
                  </w:r>
                </w:p>
              </w:tc>
            </w:tr>
            <w:tr>
              <w:tc>
                <w:tcPr>
                  <w:tcW w:type="dxa" w:w="45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要求提供</w:t>
                  </w:r>
                  <w:r>
                    <w:rPr>
                      <w:rFonts w:ascii="仿宋_GB2312" w:hAnsi="仿宋_GB2312" w:cs="仿宋_GB2312" w:eastAsia="仿宋_GB2312"/>
                      <w:sz w:val="24"/>
                    </w:rPr>
                    <w:t>U盘等移动设备接入电脑自动检测功能，全面拦截和清除在移动设备接入系统可能带来的病毒木马；</w:t>
                  </w:r>
                </w:p>
              </w:tc>
            </w:tr>
            <w:tr>
              <w:tc>
                <w:tcPr>
                  <w:tcW w:type="dxa" w:w="45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支持浏览器防护，对篡改浏览器设置的恶意行为进行有效防御，并可以锁定默认浏览器设置；</w:t>
                  </w:r>
                </w:p>
              </w:tc>
            </w:tr>
            <w:tr>
              <w:tc>
                <w:tcPr>
                  <w:tcW w:type="dxa" w:w="45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需支持根据设定好的固定区域对未知威胁文件及黑文件进行定向追溯，实现对所有可疑威胁文件进行全周期追踪；（需提供功能截图，并加盖厂商公章）</w:t>
                  </w:r>
                </w:p>
              </w:tc>
            </w:tr>
            <w:tr>
              <w:tc>
                <w:tcPr>
                  <w:tcW w:type="dxa" w:w="45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支持虚拟分级管理，实现全网终端都部署在一台服务器上，但不同辖区管理员分别管理所属客户端，且不影响同一台服务器上的其他终端。（需提供功能截图，并加盖厂商公章）</w:t>
                  </w:r>
                </w:p>
              </w:tc>
            </w:tr>
            <w:tr>
              <w:tc>
                <w:tcPr>
                  <w:tcW w:type="dxa" w:w="45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支持文件与目录自定义黑白名单的方式来管理全网终端的文件；文件被加入白名单，客户端不再查杀，加入黑名单，客户端不可执行此文件；</w:t>
                  </w:r>
                </w:p>
              </w:tc>
            </w:tr>
            <w:tr>
              <w:tc>
                <w:tcPr>
                  <w:tcW w:type="dxa" w:w="45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支持文件解压缩病毒查杀，支持对</w:t>
                  </w:r>
                  <w:r>
                    <w:rPr>
                      <w:rFonts w:ascii="仿宋_GB2312" w:hAnsi="仿宋_GB2312" w:cs="仿宋_GB2312" w:eastAsia="仿宋_GB2312"/>
                      <w:sz w:val="24"/>
                    </w:rPr>
                    <w:t>zip、rar、7z等多种格式的压缩文件查杀能力；且用户可以自定义设置扫描层数（不低于32层）及文件大小；（需提供功能截图，并加盖厂商公章）</w:t>
                  </w:r>
                </w:p>
              </w:tc>
            </w:tr>
            <w:tr>
              <w:tc>
                <w:tcPr>
                  <w:tcW w:type="dxa" w:w="45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有针对宏病毒的专杀模块，可以提供针对宏病毒的专属解决方案；</w:t>
                  </w:r>
                </w:p>
              </w:tc>
            </w:tr>
            <w:tr>
              <w:tc>
                <w:tcPr>
                  <w:tcW w:type="dxa" w:w="45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勒索者病毒提供防护机制，客户端采用虚拟钓饵方式有效拦截勒索者病毒；</w:t>
                  </w:r>
                </w:p>
              </w:tc>
            </w:tr>
            <w:tr>
              <w:tc>
                <w:tcPr>
                  <w:tcW w:type="dxa" w:w="45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可对备份区、隔离区的文件进行有效管理。能够对单个、指定的文件和全部文件，进行文件的删除、恢复等多项管理措施。</w:t>
                  </w:r>
                </w:p>
              </w:tc>
            </w:tr>
            <w:tr>
              <w:tc>
                <w:tcPr>
                  <w:tcW w:type="dxa" w:w="45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要求支持客户端升级时对网络带宽的保护，可以设定客户端最大升级带宽；</w:t>
                  </w:r>
                </w:p>
              </w:tc>
            </w:tr>
            <w:tr>
              <w:tc>
                <w:tcPr>
                  <w:tcW w:type="dxa" w:w="4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补丁分发与漏洞修复</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要求产品具有定时修复漏洞功能，同时可以设置筛选高危漏洞、软件更新、功能性补丁等修复类型；</w:t>
                  </w:r>
                </w:p>
              </w:tc>
            </w:tr>
            <w:tr>
              <w:tc>
                <w:tcPr>
                  <w:tcW w:type="dxa" w:w="45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产品具备漏洞集中修复，强制修复，自动修复</w:t>
                  </w:r>
                </w:p>
              </w:tc>
            </w:tr>
            <w:tr>
              <w:tc>
                <w:tcPr>
                  <w:tcW w:type="dxa" w:w="45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支持补丁升级验证功能及补丁验证升级延迟天数设置功能，管理员可配置升级验证策略，全面升级前对补丁进行验证，记录补丁验证状态，减少升级异常机率。</w:t>
                  </w:r>
                </w:p>
              </w:tc>
            </w:tr>
            <w:tr>
              <w:tc>
                <w:tcPr>
                  <w:tcW w:type="dxa" w:w="45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产品具备漏洞集中修复过程中的流量控制和保证带宽</w:t>
                  </w:r>
                  <w:r>
                    <w:rPr>
                      <w:rFonts w:ascii="仿宋_GB2312" w:hAnsi="仿宋_GB2312" w:cs="仿宋_GB2312" w:eastAsia="仿宋_GB2312"/>
                      <w:sz w:val="24"/>
                    </w:rPr>
                    <w:t>,补丁分发支持服务端带宽限流，有效节省外网带宽资源；</w:t>
                  </w:r>
                </w:p>
              </w:tc>
            </w:tr>
            <w:tr>
              <w:tc>
                <w:tcPr>
                  <w:tcW w:type="dxa" w:w="4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服务器端</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支持服务器、</w:t>
                  </w:r>
                  <w:r>
                    <w:rPr>
                      <w:rFonts w:ascii="仿宋_GB2312" w:hAnsi="仿宋_GB2312" w:cs="仿宋_GB2312" w:eastAsia="仿宋_GB2312"/>
                      <w:sz w:val="24"/>
                    </w:rPr>
                    <w:t>PC、虚拟化终端的统一平台管理；</w:t>
                  </w:r>
                </w:p>
              </w:tc>
            </w:tr>
            <w:tr>
              <w:tc>
                <w:tcPr>
                  <w:tcW w:type="dxa" w:w="45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支持国产操作系统及主流</w:t>
                  </w:r>
                  <w:r>
                    <w:rPr>
                      <w:rFonts w:ascii="仿宋_GB2312" w:hAnsi="仿宋_GB2312" w:cs="仿宋_GB2312" w:eastAsia="仿宋_GB2312"/>
                      <w:sz w:val="24"/>
                    </w:rPr>
                    <w:t>Linux服务器版本并且可以和Windows统一管理；</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虚拟补丁功能</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w:t>
                  </w:r>
                  <w:r>
                    <w:rPr>
                      <w:rFonts w:ascii="仿宋_GB2312" w:hAnsi="仿宋_GB2312" w:cs="仿宋_GB2312" w:eastAsia="仿宋_GB2312"/>
                      <w:sz w:val="24"/>
                    </w:rPr>
                    <w:t>SMB协议通讯的爆破防御，可对本机发出和接收的数据包依据判定条件进行分析处置；支持对通过NSA、MSF漏洞攻击的蠕虫进行防御；支持对频繁的远程控制爆破进行防御</w:t>
                  </w:r>
                  <w:r>
                    <w:rPr>
                      <w:rFonts w:ascii="仿宋_GB2312" w:hAnsi="仿宋_GB2312" w:cs="仿宋_GB2312" w:eastAsia="仿宋_GB2312"/>
                      <w:sz w:val="24"/>
                    </w:rPr>
                    <w:t>。</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软件管理功能</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支持软件管理功能，支持软件审计，软件禁用，软件与文件分发功能。</w:t>
                  </w:r>
                </w:p>
              </w:tc>
            </w:tr>
            <w:tr>
              <w:tc>
                <w:tcPr>
                  <w:tcW w:type="dxa" w:w="4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脆弱性评估</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支持终端对身份鉴别，包括密码复杂性、长度最小值、密码最短使用期限、密码最长使用期限、强制密码历史、账户锁定阈值、账户锁定时间等安全项进行检查。</w:t>
                  </w:r>
                </w:p>
              </w:tc>
            </w:tr>
            <w:tr>
              <w:tc>
                <w:tcPr>
                  <w:tcW w:type="dxa" w:w="45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支持终端对访问控制，包括</w:t>
                  </w:r>
                  <w:r>
                    <w:rPr>
                      <w:rFonts w:ascii="仿宋_GB2312" w:hAnsi="仿宋_GB2312" w:cs="仿宋_GB2312" w:eastAsia="仿宋_GB2312"/>
                      <w:sz w:val="24"/>
                    </w:rPr>
                    <w:t>Guest账户状态、admin账户是否重命名、开机自动登录、文件夹的共享权限禁止设置为Everyone组等安全项进行检查。</w:t>
                  </w:r>
                </w:p>
              </w:tc>
            </w:tr>
            <w:tr>
              <w:tc>
                <w:tcPr>
                  <w:tcW w:type="dxa" w:w="45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支持终端对终端安全审计，包括审核登录时间、审核策略更改、审核帐户登录事件以及管理审核和安全日志等安全项进行检查。</w:t>
                  </w:r>
                </w:p>
              </w:tc>
            </w:tr>
            <w:tr>
              <w:tc>
                <w:tcPr>
                  <w:tcW w:type="dxa" w:w="45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支持终端对禁用共享、启用系统防火墙等安全项进行检查。</w:t>
                  </w:r>
                </w:p>
              </w:tc>
            </w:tr>
            <w:tr>
              <w:tc>
                <w:tcPr>
                  <w:tcW w:type="dxa" w:w="45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支持终端对剩余信息保护，包括是否启用关机时清除虚拟内存页面文件、不显示上次登录等安全项进行检查。</w:t>
                  </w:r>
                </w:p>
              </w:tc>
            </w:tr>
            <w:tr>
              <w:tc>
                <w:tcPr>
                  <w:tcW w:type="dxa" w:w="45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支持终端对恶意代码防范，包括是否启用</w:t>
                  </w:r>
                  <w:r>
                    <w:rPr>
                      <w:rFonts w:ascii="仿宋_GB2312" w:hAnsi="仿宋_GB2312" w:cs="仿宋_GB2312" w:eastAsia="仿宋_GB2312"/>
                      <w:sz w:val="24"/>
                    </w:rPr>
                    <w:t>UAC验证、是否关闭自动播放功能等安全项进行检查。</w:t>
                  </w:r>
                </w:p>
              </w:tc>
            </w:tr>
            <w:tr>
              <w:tc>
                <w:tcPr>
                  <w:tcW w:type="dxa" w:w="45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支持终端对系统状态，包括高危补丁、高危端口、高危服务、弱口令等安全项进行检查。</w:t>
                  </w:r>
                </w:p>
              </w:tc>
            </w:tr>
            <w:tr>
              <w:tc>
                <w:tcPr>
                  <w:tcW w:type="dxa" w:w="4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日志报表</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展示终端健康状态、报警信息；可方便的查看不健康、亚健康终端列表；</w:t>
                  </w:r>
                  <w:r>
                    <w:br/>
                  </w:r>
                  <w:r>
                    <w:rPr>
                      <w:rFonts w:ascii="仿宋_GB2312" w:hAnsi="仿宋_GB2312" w:cs="仿宋_GB2312" w:eastAsia="仿宋_GB2312"/>
                      <w:sz w:val="24"/>
                    </w:rPr>
                    <w:t>展示全网终端病毒库日期比例，可方便的查看全网终端病毒库的情况</w:t>
                  </w:r>
                </w:p>
              </w:tc>
            </w:tr>
            <w:tr>
              <w:tc>
                <w:tcPr>
                  <w:tcW w:type="dxa" w:w="45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展示指定时间段内指定终端修复漏洞，病毒查杀，木马查杀的情况</w:t>
                  </w:r>
                </w:p>
              </w:tc>
            </w:tr>
            <w:tr>
              <w:tc>
                <w:tcPr>
                  <w:tcW w:type="dxa" w:w="45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支持统计指定分组或全网的终端扫描数、终端管理软件安装数、未安装终端数及安装率</w:t>
                  </w:r>
                </w:p>
              </w:tc>
            </w:tr>
            <w:tr>
              <w:tc>
                <w:tcPr>
                  <w:tcW w:type="dxa" w:w="4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运维管控</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支持软件管理功能，支持软件审计，软件禁用，软件与文件分发功能。</w:t>
                  </w:r>
                </w:p>
              </w:tc>
            </w:tr>
            <w:tr>
              <w:tc>
                <w:tcPr>
                  <w:tcW w:type="dxa" w:w="45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可统计指定终端网络、应用程序的上传，下载速度与流量；</w:t>
                  </w:r>
                </w:p>
              </w:tc>
            </w:tr>
            <w:tr>
              <w:tc>
                <w:tcPr>
                  <w:tcW w:type="dxa" w:w="45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具备主机防火墙功能，可置主机防火墙</w:t>
                  </w:r>
                  <w:r>
                    <w:rPr>
                      <w:rFonts w:ascii="仿宋_GB2312" w:hAnsi="仿宋_GB2312" w:cs="仿宋_GB2312" w:eastAsia="仿宋_GB2312"/>
                      <w:sz w:val="24"/>
                    </w:rPr>
                    <w:t>(网络管控)策略，能有效防护全网终端免受网络安全攻击。支持对IP、端口协议及访问方向等维度过滤，能智能识别网络协议，严格的端口管理减少端口暴露而带来的病毒传播、安全攻击等机率</w:t>
                  </w:r>
                </w:p>
              </w:tc>
            </w:tr>
            <w:tr>
              <w:tc>
                <w:tcPr>
                  <w:tcW w:type="dxa" w:w="45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支持终端进程黑名单、白名单功能，可设置核心进程必须运行，也可保护核心进程不被结束。</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服务要求</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要求提供三年原厂软硬件的免费维保服务</w:t>
                  </w:r>
                  <w:r>
                    <w:rPr>
                      <w:rFonts w:ascii="仿宋_GB2312" w:hAnsi="仿宋_GB2312" w:cs="仿宋_GB2312" w:eastAsia="仿宋_GB2312"/>
                      <w:sz w:val="19"/>
                    </w:rPr>
                    <w:t>。</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★资质</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w:t>
                  </w:r>
                  <w:r>
                    <w:rPr>
                      <w:rFonts w:ascii="仿宋_GB2312" w:hAnsi="仿宋_GB2312" w:cs="仿宋_GB2312" w:eastAsia="仿宋_GB2312"/>
                      <w:sz w:val="24"/>
                    </w:rPr>
                    <w:t>生产商</w:t>
                  </w:r>
                  <w:r>
                    <w:rPr>
                      <w:rFonts w:ascii="仿宋_GB2312" w:hAnsi="仿宋_GB2312" w:cs="仿宋_GB2312" w:eastAsia="仿宋_GB2312"/>
                      <w:sz w:val="24"/>
                    </w:rPr>
                    <w:t>产品销售许可证及检测报告</w:t>
                  </w:r>
                  <w:r>
                    <w:rPr>
                      <w:rFonts w:ascii="仿宋_GB2312" w:hAnsi="仿宋_GB2312" w:cs="仿宋_GB2312" w:eastAsia="仿宋_GB2312"/>
                      <w:sz w:val="24"/>
                    </w:rPr>
                    <w:t>及</w:t>
                  </w:r>
                  <w:r>
                    <w:rPr>
                      <w:rFonts w:ascii="仿宋_GB2312" w:hAnsi="仿宋_GB2312" w:cs="仿宋_GB2312" w:eastAsia="仿宋_GB2312"/>
                      <w:sz w:val="24"/>
                    </w:rPr>
                    <w:t>软件著作权证书。</w:t>
                  </w:r>
                </w:p>
              </w:tc>
            </w:tr>
          </w:tbl>
          <w:p>
            <w:pPr>
              <w:pStyle w:val="null3"/>
            </w:pPr>
            <w:r>
              <w:rPr>
                <w:rFonts w:ascii="仿宋_GB2312" w:hAnsi="仿宋_GB2312" w:cs="仿宋_GB2312" w:eastAsia="仿宋_GB2312"/>
                <w:sz w:val="24"/>
                <w:b/>
              </w:rPr>
              <w:t>三、项目实施期限</w:t>
            </w:r>
            <w:r>
              <w:rPr>
                <w:rFonts w:ascii="仿宋_GB2312" w:hAnsi="仿宋_GB2312" w:cs="仿宋_GB2312" w:eastAsia="仿宋_GB2312"/>
                <w:sz w:val="24"/>
                <w:b/>
              </w:rPr>
              <w:t>：</w:t>
            </w:r>
            <w:r>
              <w:rPr>
                <w:rFonts w:ascii="仿宋_GB2312" w:hAnsi="仿宋_GB2312" w:cs="仿宋_GB2312" w:eastAsia="仿宋_GB2312"/>
                <w:sz w:val="24"/>
                <w:b/>
              </w:rPr>
              <w:t>60天。</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标的名称：信息系统安全等级保护服务采购项目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一、采购内容</w:t>
            </w:r>
          </w:p>
          <w:p>
            <w:pPr>
              <w:pStyle w:val="null3"/>
              <w:ind w:firstLine="480"/>
              <w:jc w:val="left"/>
            </w:pPr>
            <w:r>
              <w:rPr>
                <w:rFonts w:ascii="仿宋_GB2312" w:hAnsi="仿宋_GB2312" w:cs="仿宋_GB2312" w:eastAsia="仿宋_GB2312"/>
                <w:sz w:val="24"/>
                <w:color w:val="000000"/>
              </w:rPr>
              <w:t>1.根据国家《信息安全等级保护管理办法》(公通字[2007]43号)、《关于推动信息安全等级保护测评体系建设和开展等级测评工作的通知》（公信安[2010]303号）、《陕西省信息安全等级保护安全建设整改工作指导意见》（陕等保办2011 2号）等相关文件要求，在合同签订后的180天内完成对渭南市中心医院的4个三级系统和1个二级系统信息系统实施网络安全等级保护测评工作，并获取等级保护证书。</w:t>
            </w:r>
            <w:r>
              <w:rPr>
                <w:rFonts w:ascii="仿宋_GB2312" w:hAnsi="仿宋_GB2312" w:cs="仿宋_GB2312" w:eastAsia="仿宋_GB2312"/>
                <w:sz w:val="24"/>
                <w:color w:val="000000"/>
              </w:rPr>
              <w:t>系统调研：在系统相关人员的协助下，对上述信息系统进行调研和梳理，了解系统当前信息系统资产现状。</w:t>
            </w:r>
          </w:p>
          <w:p>
            <w:pPr>
              <w:pStyle w:val="null3"/>
              <w:ind w:firstLine="480"/>
              <w:jc w:val="left"/>
            </w:pPr>
            <w:r>
              <w:rPr>
                <w:rFonts w:ascii="仿宋_GB2312" w:hAnsi="仿宋_GB2312" w:cs="仿宋_GB2312" w:eastAsia="仿宋_GB2312"/>
                <w:sz w:val="24"/>
                <w:color w:val="000000"/>
              </w:rPr>
              <w:t>2.现场测评：根据国家等级测评的相关标准及已编制的相关等级保护测评指导书对信息系统中的相关资产进行测评项的检查、记录检查结果。</w:t>
            </w:r>
          </w:p>
          <w:p>
            <w:pPr>
              <w:pStyle w:val="null3"/>
              <w:ind w:firstLine="480"/>
              <w:jc w:val="left"/>
            </w:pPr>
            <w:r>
              <w:rPr>
                <w:rFonts w:ascii="仿宋_GB2312" w:hAnsi="仿宋_GB2312" w:cs="仿宋_GB2312" w:eastAsia="仿宋_GB2312"/>
                <w:sz w:val="24"/>
                <w:color w:val="000000"/>
              </w:rPr>
              <w:t>3.分析整改：根据前述工作内容，分析信息系统安全情况与等级保护基本要求的差距,提供差异化测评服务，并进行风险分析，可根据现场情况出具科学合理的整改建议及整改方案，配合采购单位安全整改工作。</w:t>
            </w:r>
          </w:p>
          <w:p>
            <w:pPr>
              <w:pStyle w:val="null3"/>
              <w:ind w:firstLine="480"/>
              <w:jc w:val="left"/>
            </w:pPr>
            <w:r>
              <w:rPr>
                <w:rFonts w:ascii="仿宋_GB2312" w:hAnsi="仿宋_GB2312" w:cs="仿宋_GB2312" w:eastAsia="仿宋_GB2312"/>
                <w:sz w:val="24"/>
                <w:color w:val="000000"/>
              </w:rPr>
              <w:t>4.结论报告：根据前述工作内容，分析当前信息系统安全保护能力是否符合相应等级的安全要求，针对整改项进行再次测评,提供安全等级符合性测评服务，出具相关系统测评报告。</w:t>
            </w:r>
          </w:p>
          <w:p>
            <w:pPr>
              <w:pStyle w:val="null3"/>
              <w:ind w:firstLine="480"/>
              <w:jc w:val="left"/>
            </w:pPr>
            <w:r>
              <w:rPr>
                <w:rFonts w:ascii="仿宋_GB2312" w:hAnsi="仿宋_GB2312" w:cs="仿宋_GB2312" w:eastAsia="仿宋_GB2312"/>
                <w:sz w:val="24"/>
                <w:color w:val="000000"/>
              </w:rPr>
              <w:t>5.配合验收：整理项目过程中所有相关的过程文档，提交系统相关人员。</w:t>
            </w:r>
          </w:p>
          <w:p>
            <w:pPr>
              <w:pStyle w:val="null3"/>
              <w:jc w:val="left"/>
            </w:pPr>
            <w:r>
              <w:rPr>
                <w:rFonts w:ascii="仿宋_GB2312" w:hAnsi="仿宋_GB2312" w:cs="仿宋_GB2312" w:eastAsia="仿宋_GB2312"/>
                <w:sz w:val="24"/>
                <w:b/>
                <w:color w:val="000000"/>
              </w:rPr>
              <w:t>二、服务要求</w:t>
            </w:r>
          </w:p>
          <w:p>
            <w:pPr>
              <w:pStyle w:val="null3"/>
              <w:ind w:firstLine="480"/>
              <w:jc w:val="left"/>
            </w:pPr>
            <w:r>
              <w:rPr>
                <w:rFonts w:ascii="仿宋_GB2312" w:hAnsi="仿宋_GB2312" w:cs="仿宋_GB2312" w:eastAsia="仿宋_GB2312"/>
                <w:sz w:val="24"/>
                <w:color w:val="000000"/>
              </w:rPr>
              <w:t>1.测评人员要求：本项目的测评人员需具有1年或1年以上测评工作经验，项目经理和质量负责人必须具备丰富的安全服务经验及相关资质认证，并提供人员管理及配备方案，并确保人员稳定。如需更换测评人员，须由采购单位同意。</w:t>
            </w:r>
          </w:p>
          <w:p>
            <w:pPr>
              <w:pStyle w:val="null3"/>
              <w:ind w:firstLine="480"/>
              <w:jc w:val="left"/>
            </w:pPr>
            <w:r>
              <w:rPr>
                <w:rFonts w:ascii="仿宋_GB2312" w:hAnsi="仿宋_GB2312" w:cs="仿宋_GB2312" w:eastAsia="仿宋_GB2312"/>
                <w:sz w:val="24"/>
                <w:color w:val="000000"/>
              </w:rPr>
              <w:t>2.人员配备：供应商必须为本项目成立本地化等级保护测评小组，由测评小组组长统一负责，测评小组组长具有一定的技术及管理知识和经验，能容易地与客户沟通，能很好的执行与完成测评工作，并根据适当情况增加测评人员。</w:t>
            </w:r>
          </w:p>
          <w:p>
            <w:pPr>
              <w:pStyle w:val="null3"/>
              <w:ind w:firstLine="480"/>
              <w:jc w:val="left"/>
            </w:pPr>
            <w:r>
              <w:rPr>
                <w:rFonts w:ascii="仿宋_GB2312" w:hAnsi="仿宋_GB2312" w:cs="仿宋_GB2312" w:eastAsia="仿宋_GB2312"/>
                <w:sz w:val="24"/>
                <w:color w:val="000000"/>
              </w:rPr>
              <w:t>3.供应商应按等级保护测评要求制定测评过程中产生的文档，做到科学、规范、详尽、统一。</w:t>
            </w:r>
          </w:p>
          <w:p>
            <w:pPr>
              <w:pStyle w:val="null3"/>
              <w:jc w:val="left"/>
            </w:pPr>
            <w:r>
              <w:rPr>
                <w:rFonts w:ascii="仿宋_GB2312" w:hAnsi="仿宋_GB2312" w:cs="仿宋_GB2312" w:eastAsia="仿宋_GB2312"/>
                <w:sz w:val="24"/>
                <w:b/>
                <w:color w:val="000000"/>
              </w:rPr>
              <w:t>三、等保测评技术标准及要求</w:t>
            </w:r>
          </w:p>
          <w:p>
            <w:pPr>
              <w:pStyle w:val="null3"/>
              <w:jc w:val="left"/>
            </w:pPr>
            <w:r>
              <w:rPr>
                <w:rFonts w:ascii="仿宋_GB2312" w:hAnsi="仿宋_GB2312" w:cs="仿宋_GB2312" w:eastAsia="仿宋_GB2312"/>
                <w:sz w:val="24"/>
                <w:b/>
                <w:color w:val="000000"/>
              </w:rPr>
              <w:t>（一）总体要求</w:t>
            </w:r>
          </w:p>
          <w:p>
            <w:pPr>
              <w:pStyle w:val="null3"/>
              <w:ind w:firstLine="480"/>
              <w:jc w:val="left"/>
            </w:pPr>
            <w:r>
              <w:rPr>
                <w:rFonts w:ascii="仿宋_GB2312" w:hAnsi="仿宋_GB2312" w:cs="仿宋_GB2312" w:eastAsia="仿宋_GB2312"/>
                <w:sz w:val="24"/>
                <w:color w:val="000000"/>
              </w:rPr>
              <w:t>根据国家《信息安全等级保护管理办法》</w:t>
            </w:r>
            <w:r>
              <w:rPr>
                <w:rFonts w:ascii="仿宋_GB2312" w:hAnsi="仿宋_GB2312" w:cs="仿宋_GB2312" w:eastAsia="仿宋_GB2312"/>
                <w:sz w:val="24"/>
                <w:color w:val="000000"/>
              </w:rPr>
              <w:t>(公通字[2007]43号)与《信息安全技术 网络安全等级保护基本要求》GB/T22239-2019要求，等级测评工作须覆盖安全物理环境、安全通信网络、安全区域边界、安全计算环境、安全管理中心、安全管理制度、安全管理机构、安全管理人员、安全建设管理、安全运维管理等方面的内容，并根据现场实际情况完成风险分析工作,最终为完善等级保护安全防护体系提供指导依据。</w:t>
            </w:r>
          </w:p>
          <w:p>
            <w:pPr>
              <w:pStyle w:val="null3"/>
              <w:jc w:val="left"/>
            </w:pPr>
            <w:r>
              <w:rPr>
                <w:rFonts w:ascii="仿宋_GB2312" w:hAnsi="仿宋_GB2312" w:cs="仿宋_GB2312" w:eastAsia="仿宋_GB2312"/>
                <w:sz w:val="24"/>
                <w:b/>
                <w:color w:val="000000"/>
              </w:rPr>
              <w:t>（二）第一阶段：等级保护</w:t>
            </w:r>
          </w:p>
          <w:p>
            <w:pPr>
              <w:pStyle w:val="null3"/>
              <w:ind w:firstLine="480"/>
              <w:jc w:val="left"/>
            </w:pPr>
            <w:r>
              <w:rPr>
                <w:rFonts w:ascii="仿宋_GB2312" w:hAnsi="仿宋_GB2312" w:cs="仿宋_GB2312" w:eastAsia="仿宋_GB2312"/>
                <w:sz w:val="24"/>
                <w:color w:val="000000"/>
              </w:rPr>
              <w:t>网络安全等级保护工作共分为五步，分别是：</w:t>
            </w:r>
            <w:r>
              <w:rPr>
                <w:rFonts w:ascii="仿宋_GB2312" w:hAnsi="仿宋_GB2312" w:cs="仿宋_GB2312" w:eastAsia="仿宋_GB2312"/>
                <w:sz w:val="24"/>
                <w:color w:val="000000"/>
              </w:rPr>
              <w:t>“定级、备案、建设整改、等级测评、监督检查”。该项目主要完成系统的安全测评工作，依据安全技术和安全管理两个方面的测评要求，分别从安全物理环境、安全通信网络、安全区域边界、安全计算环境、安全管理中心、安全管理制度、安全管理机构、安全管理人员、安全建设管理、安全运维管理十个安全类别进行安全测评。</w:t>
            </w:r>
          </w:p>
          <w:p>
            <w:pPr>
              <w:pStyle w:val="null3"/>
              <w:ind w:firstLine="482"/>
              <w:jc w:val="left"/>
            </w:pPr>
            <w:r>
              <w:rPr>
                <w:rFonts w:ascii="仿宋_GB2312" w:hAnsi="仿宋_GB2312" w:cs="仿宋_GB2312" w:eastAsia="仿宋_GB2312"/>
                <w:sz w:val="24"/>
                <w:b/>
                <w:color w:val="000000"/>
              </w:rPr>
              <w:t>1.定级要求</w:t>
            </w:r>
          </w:p>
          <w:p>
            <w:pPr>
              <w:pStyle w:val="null3"/>
              <w:jc w:val="left"/>
            </w:pPr>
            <w:r>
              <w:rPr>
                <w:rFonts w:ascii="仿宋_GB2312" w:hAnsi="仿宋_GB2312" w:cs="仿宋_GB2312" w:eastAsia="仿宋_GB2312"/>
                <w:sz w:val="24"/>
                <w:color w:val="000000"/>
              </w:rPr>
              <w:t>该项工作依据《网络安全等级保护定级指南》（</w:t>
            </w:r>
            <w:r>
              <w:rPr>
                <w:rFonts w:ascii="仿宋_GB2312" w:hAnsi="仿宋_GB2312" w:cs="仿宋_GB2312" w:eastAsia="仿宋_GB2312"/>
                <w:sz w:val="24"/>
                <w:color w:val="000000"/>
              </w:rPr>
              <w:t>GB/T 22240-2020）确定系统等级。</w:t>
            </w:r>
          </w:p>
          <w:p>
            <w:pPr>
              <w:pStyle w:val="null3"/>
              <w:ind w:firstLine="482"/>
              <w:jc w:val="left"/>
            </w:pPr>
            <w:r>
              <w:rPr>
                <w:rFonts w:ascii="仿宋_GB2312" w:hAnsi="仿宋_GB2312" w:cs="仿宋_GB2312" w:eastAsia="仿宋_GB2312"/>
                <w:sz w:val="24"/>
                <w:b/>
                <w:color w:val="000000"/>
              </w:rPr>
              <w:t>2.备案</w:t>
            </w:r>
          </w:p>
          <w:p>
            <w:pPr>
              <w:pStyle w:val="null3"/>
              <w:ind w:firstLine="480"/>
              <w:jc w:val="left"/>
            </w:pPr>
            <w:r>
              <w:rPr>
                <w:rFonts w:ascii="仿宋_GB2312" w:hAnsi="仿宋_GB2312" w:cs="仿宋_GB2312" w:eastAsia="仿宋_GB2312"/>
                <w:sz w:val="24"/>
                <w:color w:val="000000"/>
              </w:rPr>
              <w:t>信息系统的安全保护等级确定后，二级以上（含二级）信息系统的运营使用单位或主管部门应到属地公安机关办理备案手续。按照国家政策要求，跨省或者全国统一联网运行的信息系统在各地运行、应用的分支系统，向当地设区的市级以上公安机关备案。该项目系统应向归属地网络安全监察支队申请重要信息系统备案。</w:t>
            </w:r>
          </w:p>
          <w:p>
            <w:pPr>
              <w:pStyle w:val="null3"/>
              <w:ind w:firstLine="480"/>
              <w:jc w:val="left"/>
            </w:pPr>
            <w:r>
              <w:rPr>
                <w:rFonts w:ascii="仿宋_GB2312" w:hAnsi="仿宋_GB2312" w:cs="仿宋_GB2312" w:eastAsia="仿宋_GB2312"/>
                <w:sz w:val="24"/>
                <w:color w:val="000000"/>
              </w:rPr>
              <w:t>完成备案的信息系统，将获得公安机关颁发的《信息系统安全等级保护备案证明》。</w:t>
            </w:r>
          </w:p>
          <w:p>
            <w:pPr>
              <w:pStyle w:val="null3"/>
              <w:ind w:firstLine="482"/>
              <w:jc w:val="left"/>
            </w:pPr>
            <w:r>
              <w:rPr>
                <w:rFonts w:ascii="仿宋_GB2312" w:hAnsi="仿宋_GB2312" w:cs="仿宋_GB2312" w:eastAsia="仿宋_GB2312"/>
                <w:sz w:val="24"/>
                <w:b/>
                <w:color w:val="000000"/>
              </w:rPr>
              <w:t>3.等级保护测评要求</w:t>
            </w:r>
          </w:p>
          <w:p>
            <w:pPr>
              <w:pStyle w:val="null3"/>
              <w:ind w:firstLine="480"/>
              <w:jc w:val="left"/>
            </w:pPr>
            <w:r>
              <w:rPr>
                <w:rFonts w:ascii="仿宋_GB2312" w:hAnsi="仿宋_GB2312" w:cs="仿宋_GB2312" w:eastAsia="仿宋_GB2312"/>
                <w:sz w:val="24"/>
                <w:color w:val="000000"/>
              </w:rPr>
              <w:t>服务商在测评过程中要求按照《计算机信息系统安全保护等级划分准则》（</w:t>
            </w:r>
            <w:r>
              <w:rPr>
                <w:rFonts w:ascii="仿宋_GB2312" w:hAnsi="仿宋_GB2312" w:cs="仿宋_GB2312" w:eastAsia="仿宋_GB2312"/>
                <w:sz w:val="24"/>
                <w:color w:val="000000"/>
              </w:rPr>
              <w:t>GB17859-1999）、《信息安全技术 网络安全等级保护实施指南》（GB/T25058-2019）、《信息安全技术 网络安全等级保护基本要求》（GB/T22239-2019）、《信息安全技术 网络安全等级保护测评要求》（GB/T28448-2019）、《信息安全技术 网络安全等级保护测评过程指南》（GB/T28449-2018）等相关的标准规范开展等级测评工作，对系统的安全物理环境、安全通信网络、安全区域边界、安全计算环境、安全管理中心、安全管理制度、安全管理机构、安全管理人员、安全建设管理、安全运维管理共10个层面进行安全等级保护测评。测评指标如下：</w:t>
            </w:r>
          </w:p>
          <w:p>
            <w:pPr>
              <w:pStyle w:val="null3"/>
              <w:jc w:val="left"/>
            </w:pPr>
            <w:r>
              <w:rPr>
                <w:rFonts w:ascii="仿宋_GB2312" w:hAnsi="仿宋_GB2312" w:cs="仿宋_GB2312" w:eastAsia="仿宋_GB2312"/>
                <w:sz w:val="24"/>
                <w:b/>
                <w:color w:val="000000"/>
              </w:rPr>
              <w:t>（三）第二阶段：渗透测试</w:t>
            </w:r>
          </w:p>
          <w:p>
            <w:pPr>
              <w:pStyle w:val="null3"/>
              <w:ind w:firstLine="480"/>
              <w:jc w:val="left"/>
            </w:pPr>
            <w:r>
              <w:rPr>
                <w:rFonts w:ascii="仿宋_GB2312" w:hAnsi="仿宋_GB2312" w:cs="仿宋_GB2312" w:eastAsia="仿宋_GB2312"/>
                <w:sz w:val="24"/>
                <w:color w:val="000000"/>
              </w:rPr>
              <w:t>渗透测试是通过模拟恶意黑客的攻击方法，来评估计算机信息系统是否安全的一种评估方法。这个过程包括对系统的任何弱点、技术缺陷或漏洞的主动分析，通常该分析是从一个攻击者可能存在的位置来进行的，并且从这个位置有条件主动利用安全漏洞。</w:t>
            </w:r>
          </w:p>
          <w:p>
            <w:pPr>
              <w:pStyle w:val="null3"/>
              <w:jc w:val="left"/>
            </w:pPr>
            <w:r>
              <w:rPr>
                <w:rFonts w:ascii="仿宋_GB2312" w:hAnsi="仿宋_GB2312" w:cs="仿宋_GB2312" w:eastAsia="仿宋_GB2312"/>
                <w:sz w:val="24"/>
                <w:b/>
                <w:color w:val="000000"/>
              </w:rPr>
              <w:t>（四）第三阶段：建设整改咨询及安全加固（不涉及硬件）</w:t>
            </w:r>
          </w:p>
          <w:p>
            <w:pPr>
              <w:pStyle w:val="null3"/>
              <w:ind w:firstLine="480"/>
              <w:jc w:val="left"/>
            </w:pPr>
            <w:r>
              <w:rPr>
                <w:rFonts w:ascii="仿宋_GB2312" w:hAnsi="仿宋_GB2312" w:cs="仿宋_GB2312" w:eastAsia="仿宋_GB2312"/>
                <w:sz w:val="24"/>
                <w:color w:val="000000"/>
              </w:rPr>
              <w:t>建设整改咨询工作以等级测评发现的安全问题为工作重点，编写《信息系统安全建设整改建议》；将信息系统的安全建设整改需求落实到可操作的安全技术和管理上，提出能够实现的技术参数或制度及其具体规范。</w:t>
            </w:r>
          </w:p>
          <w:p>
            <w:pPr>
              <w:pStyle w:val="null3"/>
              <w:ind w:firstLine="480"/>
              <w:jc w:val="left"/>
            </w:pPr>
            <w:r>
              <w:rPr>
                <w:rFonts w:ascii="仿宋_GB2312" w:hAnsi="仿宋_GB2312" w:cs="仿宋_GB2312" w:eastAsia="仿宋_GB2312"/>
                <w:sz w:val="24"/>
                <w:color w:val="000000"/>
              </w:rPr>
              <w:t>之后依据相关《信息系统安全建设整改建议》开展建设整改工作时，服务方将提供建设整改过程中的与建设整改相关的咨询服务。</w:t>
            </w:r>
          </w:p>
          <w:p>
            <w:pPr>
              <w:pStyle w:val="null3"/>
              <w:ind w:firstLine="480"/>
              <w:jc w:val="left"/>
            </w:pPr>
            <w:r>
              <w:rPr>
                <w:rFonts w:ascii="仿宋_GB2312" w:hAnsi="仿宋_GB2312" w:cs="仿宋_GB2312" w:eastAsia="仿宋_GB2312"/>
                <w:sz w:val="24"/>
                <w:color w:val="000000"/>
              </w:rPr>
              <w:t>对信息系统安全整改建议进行确认，并依照建议，协助我方进行漏洞修复，补丁升级等非硬件层面的安全加固，制定可执行的安全整改方案和计划，然后协助我方分步实施安全整改工作。</w:t>
            </w:r>
          </w:p>
          <w:p>
            <w:pPr>
              <w:pStyle w:val="null3"/>
              <w:jc w:val="left"/>
            </w:pPr>
            <w:r>
              <w:rPr>
                <w:rFonts w:ascii="仿宋_GB2312" w:hAnsi="仿宋_GB2312" w:cs="仿宋_GB2312" w:eastAsia="仿宋_GB2312"/>
                <w:sz w:val="24"/>
                <w:b/>
                <w:color w:val="000000"/>
              </w:rPr>
              <w:t>（五）第四阶段：售后服务</w:t>
            </w:r>
          </w:p>
          <w:p>
            <w:pPr>
              <w:pStyle w:val="null3"/>
              <w:ind w:firstLine="480"/>
              <w:jc w:val="left"/>
            </w:pPr>
            <w:r>
              <w:rPr>
                <w:rFonts w:ascii="仿宋_GB2312" w:hAnsi="仿宋_GB2312" w:cs="仿宋_GB2312" w:eastAsia="仿宋_GB2312"/>
                <w:sz w:val="24"/>
                <w:color w:val="000000"/>
              </w:rPr>
              <w:t>在服务期限内，服务方将向渭南市中心医院提供包括应急响应、安全监测、配合检查、电话支持、安全咨询等服务在内的安全维保服务。具体服务内容如下：</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1）应急响应服务</w:t>
            </w:r>
          </w:p>
          <w:p>
            <w:pPr>
              <w:pStyle w:val="null3"/>
              <w:ind w:firstLine="480"/>
              <w:jc w:val="left"/>
            </w:pPr>
            <w:r>
              <w:rPr>
                <w:rFonts w:ascii="仿宋_GB2312" w:hAnsi="仿宋_GB2312" w:cs="仿宋_GB2312" w:eastAsia="仿宋_GB2312"/>
                <w:sz w:val="24"/>
                <w:color w:val="000000"/>
              </w:rPr>
              <w:t>针对本次项目，服务方提供</w:t>
            </w:r>
            <w:r>
              <w:rPr>
                <w:rFonts w:ascii="仿宋_GB2312" w:hAnsi="仿宋_GB2312" w:cs="仿宋_GB2312" w:eastAsia="仿宋_GB2312"/>
                <w:sz w:val="24"/>
                <w:color w:val="000000"/>
              </w:rPr>
              <w:t>7*24的常规应急响应及灾难恢复专家服务，在接到渭南市中心医院故障报修电话10分钟内响应，对客户信息网络应用系统突发的信息安全事件进行响应、处理、恢复、取证、跟踪、事后分析，并形成总结报告。</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2）配合检查服务</w:t>
            </w:r>
          </w:p>
          <w:p>
            <w:pPr>
              <w:pStyle w:val="null3"/>
              <w:ind w:firstLine="480"/>
              <w:jc w:val="left"/>
            </w:pPr>
            <w:r>
              <w:rPr>
                <w:rFonts w:ascii="仿宋_GB2312" w:hAnsi="仿宋_GB2312" w:cs="仿宋_GB2312" w:eastAsia="仿宋_GB2312"/>
                <w:sz w:val="24"/>
                <w:color w:val="000000"/>
              </w:rPr>
              <w:t>服务方免费协助渭南市中心医院响应公安机关、单位内部以及第三方机构针对信息系统安全等级保护工作的检查工作。服务内容包括协助渭南市中心医院准备、完善各类资料文档，配合检查过程中的答疑及技术支持及其他现场检查的响应。</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3）电话支持服务</w:t>
            </w:r>
          </w:p>
          <w:p>
            <w:pPr>
              <w:pStyle w:val="null3"/>
              <w:ind w:firstLine="480"/>
              <w:jc w:val="left"/>
            </w:pPr>
            <w:r>
              <w:rPr>
                <w:rFonts w:ascii="仿宋_GB2312" w:hAnsi="仿宋_GB2312" w:cs="仿宋_GB2312" w:eastAsia="仿宋_GB2312"/>
                <w:sz w:val="24"/>
                <w:color w:val="000000"/>
              </w:rPr>
              <w:t>每周</w:t>
            </w:r>
            <w:r>
              <w:rPr>
                <w:rFonts w:ascii="仿宋_GB2312" w:hAnsi="仿宋_GB2312" w:cs="仿宋_GB2312" w:eastAsia="仿宋_GB2312"/>
                <w:sz w:val="24"/>
                <w:color w:val="000000"/>
              </w:rPr>
              <w:t>7*24小时不间断的电话支持服务，解答渭南市中心医院在使用过程中遇到的问题，并及时提出解决问题的建议和操作方法。电话响应时间不超过10分钟，到达现场时间不超过2小时，解决问题不超过24小时。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4）安全咨询服务</w:t>
            </w:r>
          </w:p>
          <w:p>
            <w:pPr>
              <w:pStyle w:val="null3"/>
              <w:ind w:firstLine="420"/>
              <w:jc w:val="left"/>
            </w:pPr>
            <w:r>
              <w:rPr>
                <w:rFonts w:ascii="仿宋_GB2312" w:hAnsi="仿宋_GB2312" w:cs="仿宋_GB2312" w:eastAsia="仿宋_GB2312"/>
                <w:sz w:val="24"/>
                <w:color w:val="000000"/>
              </w:rPr>
              <w:t>服务方为渭南市中心医院免费提供</w:t>
            </w:r>
            <w:r>
              <w:rPr>
                <w:rFonts w:ascii="仿宋_GB2312" w:hAnsi="仿宋_GB2312" w:cs="仿宋_GB2312" w:eastAsia="仿宋_GB2312"/>
                <w:sz w:val="24"/>
                <w:color w:val="000000"/>
              </w:rPr>
              <w:t>1年技术咨询服务，包括信息系统整改建设咨询服务以及其他相关安全咨询服务，一旦接到客户的服务请求，技术服务工程师将立即开始提供服务，帮助客户解决信息安全相关技术问题，全面配合渭南市中心医院做好业务</w:t>
            </w:r>
            <w:r>
              <w:rPr>
                <w:rFonts w:ascii="仿宋_GB2312" w:hAnsi="仿宋_GB2312" w:cs="仿宋_GB2312" w:eastAsia="仿宋_GB2312"/>
                <w:sz w:val="24"/>
                <w:color w:val="000000"/>
              </w:rPr>
              <w:t>系统安全</w:t>
            </w:r>
            <w:r>
              <w:rPr>
                <w:rFonts w:ascii="仿宋_GB2312" w:hAnsi="仿宋_GB2312" w:cs="仿宋_GB2312" w:eastAsia="仿宋_GB2312"/>
                <w:sz w:val="24"/>
                <w:color w:val="000000"/>
              </w:rPr>
              <w:t>保障工作。</w:t>
            </w:r>
          </w:p>
          <w:p>
            <w:pPr>
              <w:pStyle w:val="null3"/>
              <w:ind w:firstLine="482"/>
              <w:jc w:val="left"/>
            </w:pPr>
            <w:r>
              <w:rPr>
                <w:rFonts w:ascii="仿宋_GB2312" w:hAnsi="仿宋_GB2312" w:cs="仿宋_GB2312" w:eastAsia="仿宋_GB2312"/>
                <w:sz w:val="24"/>
                <w:b/>
                <w:color w:val="000000"/>
              </w:rPr>
              <w:t>四、项目实施期限：</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180天内完成项目验收，验收时须取得：</w:t>
            </w:r>
          </w:p>
          <w:p>
            <w:pPr>
              <w:pStyle w:val="null3"/>
              <w:ind w:firstLine="482"/>
              <w:jc w:val="left"/>
            </w:pPr>
            <w:r>
              <w:rPr>
                <w:rFonts w:ascii="仿宋_GB2312" w:hAnsi="仿宋_GB2312" w:cs="仿宋_GB2312" w:eastAsia="仿宋_GB2312"/>
                <w:sz w:val="24"/>
                <w:b/>
                <w:color w:val="000000"/>
              </w:rPr>
              <w:t>五、交付内容</w:t>
            </w:r>
          </w:p>
          <w:p>
            <w:pPr>
              <w:pStyle w:val="null3"/>
              <w:ind w:firstLine="480"/>
              <w:jc w:val="left"/>
            </w:pPr>
            <w:r>
              <w:rPr>
                <w:rFonts w:ascii="仿宋_GB2312" w:hAnsi="仿宋_GB2312" w:cs="仿宋_GB2312" w:eastAsia="仿宋_GB2312"/>
                <w:sz w:val="24"/>
                <w:color w:val="000000"/>
              </w:rPr>
              <w:t>《信息系统安全等级保护定级备案证明》；</w:t>
            </w:r>
          </w:p>
          <w:p>
            <w:pPr>
              <w:pStyle w:val="null3"/>
              <w:ind w:firstLine="480"/>
              <w:jc w:val="left"/>
            </w:pPr>
            <w:r>
              <w:rPr>
                <w:rFonts w:ascii="仿宋_GB2312" w:hAnsi="仿宋_GB2312" w:cs="仿宋_GB2312" w:eastAsia="仿宋_GB2312"/>
                <w:sz w:val="24"/>
                <w:color w:val="000000"/>
              </w:rPr>
              <w:t>《信息系统安全等级测评报告》；</w:t>
            </w:r>
          </w:p>
          <w:p>
            <w:pPr>
              <w:pStyle w:val="null3"/>
            </w:pPr>
            <w:r>
              <w:rPr>
                <w:rFonts w:ascii="仿宋_GB2312" w:hAnsi="仿宋_GB2312" w:cs="仿宋_GB2312" w:eastAsia="仿宋_GB2312"/>
                <w:sz w:val="24"/>
              </w:rPr>
              <w:t>《信息系统整改建议书》。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标的名称：互联网统一出口管理及网络优化服务项目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一、</w:t>
            </w:r>
            <w:r>
              <w:rPr>
                <w:rFonts w:ascii="仿宋_GB2312" w:hAnsi="仿宋_GB2312" w:cs="仿宋_GB2312" w:eastAsia="仿宋_GB2312"/>
                <w:sz w:val="24"/>
                <w:b/>
              </w:rPr>
              <w:t>采购清单</w:t>
            </w:r>
          </w:p>
          <w:tbl>
            <w:tblPr>
              <w:tblBorders>
                <w:top w:val="none" w:color="000000" w:sz="4"/>
                <w:left w:val="none" w:color="000000" w:sz="4"/>
                <w:bottom w:val="none" w:color="000000" w:sz="4"/>
                <w:right w:val="none" w:color="000000" w:sz="4"/>
                <w:insideH w:val="none"/>
                <w:insideV w:val="none"/>
              </w:tblBorders>
            </w:tblPr>
            <w:tblGrid>
              <w:gridCol w:w="245"/>
              <w:gridCol w:w="1801"/>
              <w:gridCol w:w="507"/>
            </w:tblGrid>
            <w:tr>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8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系统名称</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2条1000M互联网专线</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专线应急保障</w:t>
                  </w:r>
                  <w:r>
                    <w:rPr>
                      <w:rFonts w:ascii="仿宋_GB2312" w:hAnsi="仿宋_GB2312" w:cs="仿宋_GB2312" w:eastAsia="仿宋_GB2312"/>
                      <w:sz w:val="24"/>
                    </w:rPr>
                    <w:t>服务</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1项</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全院网络优化服务</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1项</w:t>
                  </w:r>
                </w:p>
              </w:tc>
            </w:tr>
          </w:tbl>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技术</w:t>
            </w:r>
            <w:r>
              <w:rPr>
                <w:rFonts w:ascii="仿宋_GB2312" w:hAnsi="仿宋_GB2312" w:cs="仿宋_GB2312" w:eastAsia="仿宋_GB2312"/>
                <w:sz w:val="24"/>
                <w:b/>
              </w:rPr>
              <w:t>规格</w:t>
            </w:r>
            <w:r>
              <w:rPr>
                <w:rFonts w:ascii="仿宋_GB2312" w:hAnsi="仿宋_GB2312" w:cs="仿宋_GB2312" w:eastAsia="仿宋_GB2312"/>
                <w:sz w:val="24"/>
                <w:b/>
              </w:rPr>
              <w:t>要求</w:t>
            </w:r>
          </w:p>
          <w:tbl>
            <w:tblPr>
              <w:tblInd w:type="dxa" w:w="120"/>
              <w:tblBorders>
                <w:top w:val="none" w:color="000000" w:sz="4"/>
                <w:left w:val="none" w:color="000000" w:sz="4"/>
                <w:bottom w:val="none" w:color="000000" w:sz="4"/>
                <w:right w:val="none" w:color="000000" w:sz="4"/>
                <w:insideH w:val="none"/>
                <w:insideV w:val="none"/>
              </w:tblBorders>
            </w:tblPr>
            <w:tblGrid>
              <w:gridCol w:w="374"/>
              <w:gridCol w:w="252"/>
              <w:gridCol w:w="1926"/>
            </w:tblGrid>
            <w:tr>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指标项</w:t>
                  </w:r>
                </w:p>
              </w:tc>
              <w:tc>
                <w:tcPr>
                  <w:tcW w:type="dxa" w:w="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9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指标要求</w:t>
                  </w:r>
                </w:p>
              </w:tc>
            </w:tr>
            <w:tr>
              <w:tc>
                <w:tcPr>
                  <w:tcW w:type="dxa" w:w="3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1000M双路由互联网专线</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链路要求：</w:t>
                  </w:r>
                </w:p>
                <w:p>
                  <w:pPr>
                    <w:pStyle w:val="null3"/>
                    <w:ind w:firstLine="420"/>
                    <w:jc w:val="left"/>
                  </w:pPr>
                  <w:r>
                    <w:rPr>
                      <w:rFonts w:ascii="仿宋_GB2312" w:hAnsi="仿宋_GB2312" w:cs="仿宋_GB2312" w:eastAsia="仿宋_GB2312"/>
                      <w:sz w:val="24"/>
                      <w:color w:val="000000"/>
                    </w:rPr>
                    <w:t>2条互联网专线服务一年，每条带宽不小于1000M，为确保线路安全，要求2条互联网专线为不同路由且共用一个IP地址，同时赠送</w:t>
                  </w:r>
                  <w:r>
                    <w:rPr>
                      <w:rFonts w:ascii="仿宋_GB2312" w:hAnsi="仿宋_GB2312" w:cs="仿宋_GB2312" w:eastAsia="仿宋_GB2312"/>
                      <w:sz w:val="24"/>
                      <w:color w:val="000000"/>
                    </w:rPr>
                    <w:t>16个IP，并协助院方做好IP备案工作</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IP地址要求：</w:t>
                  </w:r>
                </w:p>
                <w:p>
                  <w:pPr>
                    <w:pStyle w:val="null3"/>
                    <w:jc w:val="left"/>
                  </w:pPr>
                  <w:r>
                    <w:rPr>
                      <w:rFonts w:ascii="仿宋_GB2312" w:hAnsi="仿宋_GB2312" w:cs="仿宋_GB2312" w:eastAsia="仿宋_GB2312"/>
                      <w:sz w:val="24"/>
                      <w:color w:val="000000"/>
                    </w:rPr>
                    <w:t>为医院提供静态公网</w:t>
                  </w:r>
                  <w:r>
                    <w:rPr>
                      <w:rFonts w:ascii="仿宋_GB2312" w:hAnsi="仿宋_GB2312" w:cs="仿宋_GB2312" w:eastAsia="仿宋_GB2312"/>
                      <w:sz w:val="24"/>
                      <w:color w:val="000000"/>
                    </w:rPr>
                    <w:t>IP，不得在医院以外的网络进行地址转换，所提供的IP地址所有端口都可用。</w:t>
                  </w:r>
                </w:p>
                <w:p>
                  <w:pPr>
                    <w:pStyle w:val="null3"/>
                    <w:jc w:val="left"/>
                  </w:pPr>
                </w:p>
              </w:tc>
            </w:tr>
            <w:tr>
              <w:tc>
                <w:tcPr>
                  <w:tcW w:type="dxa" w:w="374"/>
                  <w:vMerge/>
                  <w:tcBorders>
                    <w:top w:val="none" w:color="000000" w:sz="4"/>
                    <w:left w:val="single" w:color="000000" w:sz="4"/>
                    <w:bottom w:val="singl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安全要求：</w:t>
                  </w:r>
                </w:p>
                <w:p>
                  <w:pPr>
                    <w:pStyle w:val="null3"/>
                    <w:jc w:val="both"/>
                  </w:pPr>
                  <w:r>
                    <w:rPr>
                      <w:rFonts w:ascii="仿宋_GB2312" w:hAnsi="仿宋_GB2312" w:cs="仿宋_GB2312" w:eastAsia="仿宋_GB2312"/>
                      <w:sz w:val="24"/>
                    </w:rPr>
                    <w:t>所提供的互联网专线需具备安全专线标准，安全专线应具备攻击监测、流量清洗、流量封堵、系统接口等功能。</w:t>
                  </w:r>
                </w:p>
                <w:p>
                  <w:pPr>
                    <w:pStyle w:val="null3"/>
                    <w:jc w:val="both"/>
                  </w:pPr>
                  <w:r>
                    <w:rPr>
                      <w:rFonts w:ascii="仿宋_GB2312" w:hAnsi="仿宋_GB2312" w:cs="仿宋_GB2312" w:eastAsia="仿宋_GB2312"/>
                      <w:sz w:val="24"/>
                    </w:rPr>
                    <w:t>1、攻击监测：</w:t>
                  </w:r>
                </w:p>
                <w:p>
                  <w:pPr>
                    <w:pStyle w:val="null3"/>
                    <w:jc w:val="both"/>
                  </w:pPr>
                  <w:r>
                    <w:rPr>
                      <w:rFonts w:ascii="仿宋_GB2312" w:hAnsi="仿宋_GB2312" w:cs="仿宋_GB2312" w:eastAsia="仿宋_GB2312"/>
                      <w:sz w:val="24"/>
                    </w:rPr>
                    <w:t>基于统计攻击特征行为的识别和阻断功能</w:t>
                  </w:r>
                  <w:r>
                    <w:rPr>
                      <w:rFonts w:ascii="仿宋_GB2312" w:hAnsi="仿宋_GB2312" w:cs="仿宋_GB2312" w:eastAsia="仿宋_GB2312"/>
                      <w:sz w:val="24"/>
                    </w:rPr>
                    <w:t>,以及正常流量处理、攻击特征库维护、安全管理及日志审计等功能。</w:t>
                  </w:r>
                </w:p>
                <w:p>
                  <w:pPr>
                    <w:pStyle w:val="null3"/>
                    <w:jc w:val="both"/>
                  </w:pPr>
                  <w:r>
                    <w:rPr>
                      <w:rFonts w:ascii="仿宋_GB2312" w:hAnsi="仿宋_GB2312" w:cs="仿宋_GB2312" w:eastAsia="仿宋_GB2312"/>
                      <w:sz w:val="24"/>
                    </w:rPr>
                    <w:t>2、流量清洗：</w:t>
                  </w:r>
                </w:p>
                <w:p>
                  <w:pPr>
                    <w:pStyle w:val="null3"/>
                    <w:jc w:val="both"/>
                  </w:pPr>
                  <w:r>
                    <w:rPr>
                      <w:rFonts w:ascii="仿宋_GB2312" w:hAnsi="仿宋_GB2312" w:cs="仿宋_GB2312" w:eastAsia="仿宋_GB2312"/>
                      <w:sz w:val="24"/>
                    </w:rPr>
                    <w:t>可提供对业务流量和针对客户</w:t>
                  </w:r>
                  <w:r>
                    <w:rPr>
                      <w:rFonts w:ascii="仿宋_GB2312" w:hAnsi="仿宋_GB2312" w:cs="仿宋_GB2312" w:eastAsia="仿宋_GB2312"/>
                      <w:sz w:val="24"/>
                    </w:rPr>
                    <w:t>IP地址（段）的DDoS攻击流量溯源分析服务；</w:t>
                  </w:r>
                </w:p>
                <w:p>
                  <w:pPr>
                    <w:pStyle w:val="null3"/>
                    <w:jc w:val="both"/>
                  </w:pPr>
                  <w:r>
                    <w:rPr>
                      <w:rFonts w:ascii="仿宋_GB2312" w:hAnsi="仿宋_GB2312" w:cs="仿宋_GB2312" w:eastAsia="仿宋_GB2312"/>
                      <w:sz w:val="24"/>
                    </w:rPr>
                    <w:t>产品采用近源式清洗、分布式部署模式，具有全球调动防护能力，且可实现城域网近目的、城域网、骨干网二级协同联动能力。</w:t>
                  </w:r>
                </w:p>
                <w:p>
                  <w:pPr>
                    <w:pStyle w:val="null3"/>
                    <w:jc w:val="both"/>
                  </w:pPr>
                  <w:r>
                    <w:rPr>
                      <w:rFonts w:ascii="仿宋_GB2312" w:hAnsi="仿宋_GB2312" w:cs="仿宋_GB2312" w:eastAsia="仿宋_GB2312"/>
                      <w:sz w:val="24"/>
                    </w:rPr>
                    <w:t>基于</w:t>
                  </w:r>
                  <w:r>
                    <w:rPr>
                      <w:rFonts w:ascii="仿宋_GB2312" w:hAnsi="仿宋_GB2312" w:cs="仿宋_GB2312" w:eastAsia="仿宋_GB2312"/>
                      <w:sz w:val="24"/>
                    </w:rPr>
                    <w:t>SRv6的流量清洗溯源能力，可实现靠近DDoS攻击源的DDoS攻击防护溯源。</w:t>
                  </w:r>
                </w:p>
                <w:p>
                  <w:pPr>
                    <w:pStyle w:val="null3"/>
                    <w:jc w:val="both"/>
                  </w:pPr>
                  <w:r>
                    <w:rPr>
                      <w:rFonts w:ascii="仿宋_GB2312" w:hAnsi="仿宋_GB2312" w:cs="仿宋_GB2312" w:eastAsia="仿宋_GB2312"/>
                      <w:sz w:val="24"/>
                    </w:rPr>
                    <w:t>3、流量封堵：</w:t>
                  </w:r>
                </w:p>
                <w:p>
                  <w:pPr>
                    <w:pStyle w:val="null3"/>
                    <w:jc w:val="both"/>
                  </w:pPr>
                  <w:r>
                    <w:rPr>
                      <w:rFonts w:ascii="仿宋_GB2312" w:hAnsi="仿宋_GB2312" w:cs="仿宋_GB2312" w:eastAsia="仿宋_GB2312"/>
                      <w:sz w:val="24"/>
                    </w:rPr>
                    <w:t>产品具备可提供针对防护</w:t>
                  </w:r>
                  <w:r>
                    <w:rPr>
                      <w:rFonts w:ascii="仿宋_GB2312" w:hAnsi="仿宋_GB2312" w:cs="仿宋_GB2312" w:eastAsia="仿宋_GB2312"/>
                      <w:sz w:val="24"/>
                    </w:rPr>
                    <w:t>IP地址（段）的流量压制路由服务，支持基于需防护目的IP地址实现国际流量、国内运营商分方向的流量压制功能，实现丢弃来自网络攻击流量在内的所有去往该IP地址（段）流量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4、自服务平台：</w:t>
                  </w:r>
                </w:p>
                <w:p>
                  <w:pPr>
                    <w:pStyle w:val="null3"/>
                    <w:jc w:val="both"/>
                  </w:pPr>
                  <w:r>
                    <w:rPr>
                      <w:rFonts w:ascii="仿宋_GB2312" w:hAnsi="仿宋_GB2312" w:cs="仿宋_GB2312" w:eastAsia="仿宋_GB2312"/>
                      <w:sz w:val="24"/>
                    </w:rPr>
                    <w:t>用户</w:t>
                  </w:r>
                  <w:r>
                    <w:rPr>
                      <w:rFonts w:ascii="仿宋_GB2312" w:hAnsi="仿宋_GB2312" w:cs="仿宋_GB2312" w:eastAsia="仿宋_GB2312"/>
                      <w:sz w:val="24"/>
                    </w:rPr>
                    <w:t>通过互联网登录自服务平台进行攻击防护数据查看。</w:t>
                  </w:r>
                </w:p>
                <w:p>
                  <w:pPr>
                    <w:pStyle w:val="null3"/>
                    <w:jc w:val="both"/>
                  </w:pPr>
                  <w:r>
                    <w:rPr>
                      <w:rFonts w:ascii="仿宋_GB2312" w:hAnsi="仿宋_GB2312" w:cs="仿宋_GB2312" w:eastAsia="仿宋_GB2312"/>
                      <w:sz w:val="24"/>
                    </w:rPr>
                    <w:t>5、清洗能力：</w:t>
                  </w:r>
                </w:p>
                <w:p>
                  <w:pPr>
                    <w:pStyle w:val="null3"/>
                    <w:jc w:val="both"/>
                  </w:pPr>
                  <w:r>
                    <w:rPr>
                      <w:rFonts w:ascii="仿宋_GB2312" w:hAnsi="仿宋_GB2312" w:cs="仿宋_GB2312" w:eastAsia="仿宋_GB2312"/>
                      <w:sz w:val="24"/>
                    </w:rPr>
                    <w:t>提供可弹性</w:t>
                  </w:r>
                  <w:r>
                    <w:rPr>
                      <w:rFonts w:ascii="仿宋_GB2312" w:hAnsi="仿宋_GB2312" w:cs="仿宋_GB2312" w:eastAsia="仿宋_GB2312"/>
                      <w:sz w:val="24"/>
                    </w:rPr>
                    <w:t>≤400Gbps的DDoS防护清洗能力，需采用分布式近源洗防护，清洗中心在全球需满足≥50个清洗中心，清洗能力需≥16Tbps。</w:t>
                  </w:r>
                </w:p>
                <w:p>
                  <w:pPr>
                    <w:pStyle w:val="null3"/>
                    <w:jc w:val="both"/>
                  </w:pPr>
                  <w:r>
                    <w:rPr>
                      <w:rFonts w:ascii="仿宋_GB2312" w:hAnsi="仿宋_GB2312" w:cs="仿宋_GB2312" w:eastAsia="仿宋_GB2312"/>
                      <w:sz w:val="24"/>
                    </w:rPr>
                    <w:t>6、专线提供网站安全</w:t>
                  </w:r>
                  <w:r>
                    <w:rPr>
                      <w:rFonts w:ascii="仿宋_GB2312" w:hAnsi="仿宋_GB2312" w:cs="仿宋_GB2312" w:eastAsia="仿宋_GB2312"/>
                      <w:sz w:val="21"/>
                    </w:rPr>
                    <w:t>云防护服务一年。</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专线应急保障</w:t>
                  </w:r>
                  <w:r>
                    <w:rPr>
                      <w:rFonts w:ascii="仿宋_GB2312" w:hAnsi="仿宋_GB2312" w:cs="仿宋_GB2312" w:eastAsia="仿宋_GB2312"/>
                      <w:sz w:val="24"/>
                    </w:rPr>
                    <w:t>服务</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基础</w:t>
                  </w:r>
                  <w:r>
                    <w:rPr>
                      <w:rFonts w:ascii="仿宋_GB2312" w:hAnsi="仿宋_GB2312" w:cs="仿宋_GB2312" w:eastAsia="仿宋_GB2312"/>
                      <w:sz w:val="24"/>
                    </w:rPr>
                    <w:t>应急</w:t>
                  </w:r>
                  <w:r>
                    <w:rPr>
                      <w:rFonts w:ascii="仿宋_GB2312" w:hAnsi="仿宋_GB2312" w:cs="仿宋_GB2312" w:eastAsia="仿宋_GB2312"/>
                      <w:sz w:val="24"/>
                    </w:rPr>
                    <w:t>服务</w:t>
                  </w:r>
                </w:p>
                <w:p>
                  <w:pPr>
                    <w:pStyle w:val="null3"/>
                    <w:numPr>
                      <w:ilvl w:val="0"/>
                      <w:numId w:val="1"/>
                    </w:numPr>
                    <w:jc w:val="both"/>
                  </w:pPr>
                  <w:r>
                    <w:rPr>
                      <w:rFonts w:ascii="仿宋_GB2312" w:hAnsi="仿宋_GB2312" w:cs="仿宋_GB2312" w:eastAsia="仿宋_GB2312"/>
                      <w:sz w:val="24"/>
                    </w:rPr>
                    <w:t>绿色通道</w:t>
                  </w:r>
                  <w:r>
                    <w:rPr>
                      <w:rFonts w:ascii="仿宋_GB2312" w:hAnsi="仿宋_GB2312" w:cs="仿宋_GB2312" w:eastAsia="仿宋_GB2312"/>
                      <w:sz w:val="24"/>
                    </w:rPr>
                    <w:t>24小时售后：设置客服专线绿色通道，7*24小时售后响应、调度、管控，要求15分钟响应，30分钟到现场，1小时内解决问题。</w:t>
                  </w:r>
                </w:p>
                <w:p>
                  <w:pPr>
                    <w:pStyle w:val="null3"/>
                    <w:numPr>
                      <w:ilvl w:val="0"/>
                      <w:numId w:val="1"/>
                    </w:numPr>
                    <w:jc w:val="both"/>
                  </w:pPr>
                  <w:r>
                    <w:rPr>
                      <w:rFonts w:ascii="仿宋_GB2312" w:hAnsi="仿宋_GB2312" w:cs="仿宋_GB2312" w:eastAsia="仿宋_GB2312"/>
                      <w:sz w:val="24"/>
                    </w:rPr>
                    <w:t>生命线业务保障：对用户标记的生命线级重点业务进行提级保障，通过标识监控、应急预案等技术和管理手段达到业务和链路高可用率的状态。</w:t>
                  </w:r>
                </w:p>
                <w:p>
                  <w:pPr>
                    <w:pStyle w:val="null3"/>
                    <w:numPr>
                      <w:ilvl w:val="0"/>
                      <w:numId w:val="1"/>
                    </w:numPr>
                    <w:jc w:val="both"/>
                  </w:pPr>
                  <w:r>
                    <w:rPr>
                      <w:rFonts w:ascii="仿宋_GB2312" w:hAnsi="仿宋_GB2312" w:cs="仿宋_GB2312" w:eastAsia="仿宋_GB2312"/>
                      <w:sz w:val="24"/>
                    </w:rPr>
                    <w:t>售后主动服务</w:t>
                  </w:r>
                </w:p>
                <w:p>
                  <w:pPr>
                    <w:pStyle w:val="null3"/>
                    <w:ind w:firstLine="480"/>
                    <w:jc w:val="both"/>
                  </w:pPr>
                  <w:r>
                    <w:rPr>
                      <w:rFonts w:ascii="仿宋_GB2312" w:hAnsi="仿宋_GB2312" w:cs="仿宋_GB2312" w:eastAsia="仿宋_GB2312"/>
                      <w:sz w:val="24"/>
                    </w:rPr>
                    <w:t>开展定期运营服务报告、定期机房巡检、重要通信保障、定期应急演练、定期通知发送等</w:t>
                  </w:r>
                  <w:r>
                    <w:rPr>
                      <w:rFonts w:ascii="仿宋_GB2312" w:hAnsi="仿宋_GB2312" w:cs="仿宋_GB2312" w:eastAsia="仿宋_GB2312"/>
                      <w:sz w:val="24"/>
                    </w:rPr>
                    <w:t>6大类主动服务。</w:t>
                  </w:r>
                </w:p>
                <w:p>
                  <w:pPr>
                    <w:pStyle w:val="null3"/>
                    <w:numPr>
                      <w:ilvl w:val="0"/>
                      <w:numId w:val="1"/>
                    </w:numPr>
                    <w:jc w:val="both"/>
                  </w:pPr>
                  <w:r>
                    <w:rPr>
                      <w:rFonts w:ascii="仿宋_GB2312" w:hAnsi="仿宋_GB2312" w:cs="仿宋_GB2312" w:eastAsia="仿宋_GB2312"/>
                      <w:sz w:val="24"/>
                    </w:rPr>
                    <w:t>提供专属服务</w:t>
                  </w:r>
                </w:p>
                <w:p>
                  <w:pPr>
                    <w:pStyle w:val="null3"/>
                    <w:numPr>
                      <w:ilvl w:val="0"/>
                      <w:numId w:val="1"/>
                    </w:numPr>
                    <w:jc w:val="both"/>
                  </w:pPr>
                  <w:r>
                    <w:rPr>
                      <w:rFonts w:ascii="仿宋_GB2312" w:hAnsi="仿宋_GB2312" w:cs="仿宋_GB2312" w:eastAsia="仿宋_GB2312"/>
                      <w:sz w:val="24"/>
                    </w:rPr>
                    <w:t>配备</w:t>
                  </w:r>
                  <w:r>
                    <w:rPr>
                      <w:rFonts w:ascii="仿宋_GB2312" w:hAnsi="仿宋_GB2312" w:cs="仿宋_GB2312" w:eastAsia="仿宋_GB2312"/>
                      <w:sz w:val="24"/>
                    </w:rPr>
                    <w:t>专属服务团队</w:t>
                  </w:r>
                  <w:r>
                    <w:rPr>
                      <w:rFonts w:ascii="仿宋_GB2312" w:hAnsi="仿宋_GB2312" w:cs="仿宋_GB2312" w:eastAsia="仿宋_GB2312"/>
                      <w:sz w:val="24"/>
                    </w:rPr>
                    <w:t>，</w:t>
                  </w:r>
                  <w:r>
                    <w:rPr>
                      <w:rFonts w:ascii="仿宋_GB2312" w:hAnsi="仿宋_GB2312" w:cs="仿宋_GB2312" w:eastAsia="仿宋_GB2312"/>
                      <w:sz w:val="24"/>
                    </w:rPr>
                    <w:t>及时</w:t>
                  </w:r>
                  <w:r>
                    <w:rPr>
                      <w:rFonts w:ascii="仿宋_GB2312" w:hAnsi="仿宋_GB2312" w:cs="仿宋_GB2312" w:eastAsia="仿宋_GB2312"/>
                      <w:sz w:val="24"/>
                    </w:rPr>
                    <w:t>响应客户售后服务需求，调度内外资源。</w:t>
                  </w:r>
                </w:p>
                <w:p>
                  <w:pPr>
                    <w:pStyle w:val="null3"/>
                    <w:numPr>
                      <w:ilvl w:val="0"/>
                      <w:numId w:val="1"/>
                    </w:numPr>
                    <w:jc w:val="both"/>
                  </w:pPr>
                  <w:r>
                    <w:rPr>
                      <w:rFonts w:ascii="仿宋_GB2312" w:hAnsi="仿宋_GB2312" w:cs="仿宋_GB2312" w:eastAsia="仿宋_GB2312"/>
                      <w:sz w:val="24"/>
                    </w:rPr>
                    <w:t>专家服务：</w:t>
                  </w:r>
                  <w:r>
                    <w:rPr>
                      <w:rFonts w:ascii="仿宋_GB2312" w:hAnsi="仿宋_GB2312" w:cs="仿宋_GB2312" w:eastAsia="仿宋_GB2312"/>
                      <w:sz w:val="24"/>
                    </w:rPr>
                    <w:t>配备</w:t>
                  </w:r>
                  <w:r>
                    <w:rPr>
                      <w:rFonts w:ascii="仿宋_GB2312" w:hAnsi="仿宋_GB2312" w:cs="仿宋_GB2312" w:eastAsia="仿宋_GB2312"/>
                      <w:sz w:val="24"/>
                    </w:rPr>
                    <w:t>IT专家提供IT系统健康诊断、隐患排查、技术咨询、疑难问题支持并提供专属分析报告与业务优化改进建议。</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全院网络优化服务</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供应商需完成对门诊楼和住院一部</w:t>
                  </w:r>
                  <w:r>
                    <w:rPr>
                      <w:rFonts w:ascii="仿宋_GB2312" w:hAnsi="仿宋_GB2312" w:cs="仿宋_GB2312" w:eastAsia="仿宋_GB2312"/>
                      <w:sz w:val="21"/>
                    </w:rPr>
                    <w:t>互联网网络优化服务，实现全院互联网统一出口管理</w:t>
                  </w:r>
                </w:p>
              </w:tc>
            </w:tr>
          </w:tbl>
          <w:p>
            <w:pPr>
              <w:pStyle w:val="null3"/>
            </w:pPr>
            <w:r>
              <w:rPr>
                <w:rFonts w:ascii="仿宋_GB2312" w:hAnsi="仿宋_GB2312" w:cs="仿宋_GB2312" w:eastAsia="仿宋_GB2312"/>
                <w:sz w:val="24"/>
                <w:b/>
              </w:rPr>
              <w:t>三、</w:t>
            </w:r>
            <w:r>
              <w:rPr>
                <w:rFonts w:ascii="仿宋_GB2312" w:hAnsi="仿宋_GB2312" w:cs="仿宋_GB2312" w:eastAsia="仿宋_GB2312"/>
                <w:sz w:val="24"/>
                <w:b/>
              </w:rPr>
              <w:t>项目实施</w:t>
            </w:r>
            <w:r>
              <w:rPr>
                <w:rFonts w:ascii="仿宋_GB2312" w:hAnsi="仿宋_GB2312" w:cs="仿宋_GB2312" w:eastAsia="仿宋_GB2312"/>
                <w:sz w:val="24"/>
                <w:b/>
              </w:rPr>
              <w:t>期限</w:t>
            </w:r>
            <w:r>
              <w:rPr>
                <w:rFonts w:ascii="仿宋_GB2312" w:hAnsi="仿宋_GB2312" w:cs="仿宋_GB2312" w:eastAsia="仿宋_GB2312"/>
                <w:sz w:val="24"/>
                <w:b/>
              </w:rPr>
              <w:t>：</w:t>
            </w:r>
            <w:r>
              <w:rPr>
                <w:rFonts w:ascii="仿宋_GB2312" w:hAnsi="仿宋_GB2312" w:cs="仿宋_GB2312" w:eastAsia="仿宋_GB2312"/>
                <w:sz w:val="24"/>
                <w:b/>
              </w:rPr>
              <w:t>180</w:t>
            </w:r>
            <w:r>
              <w:rPr>
                <w:rFonts w:ascii="仿宋_GB2312" w:hAnsi="仿宋_GB2312" w:cs="仿宋_GB2312" w:eastAsia="仿宋_GB2312"/>
                <w:sz w:val="24"/>
                <w:b/>
              </w:rPr>
              <w:t>天</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标的名称：智慧管理中心提升改进项目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采购清单和技术要求</w:t>
            </w:r>
          </w:p>
          <w:p>
            <w:pPr>
              <w:pStyle w:val="null3"/>
              <w:ind w:firstLine="482"/>
              <w:jc w:val="left"/>
            </w:pPr>
            <w:r>
              <w:rPr>
                <w:rFonts w:ascii="仿宋_GB2312" w:hAnsi="仿宋_GB2312" w:cs="仿宋_GB2312" w:eastAsia="仿宋_GB2312"/>
                <w:sz w:val="24"/>
                <w:b/>
                <w:color w:val="000000"/>
              </w:rPr>
              <w:t>（一）采购清单</w:t>
            </w:r>
          </w:p>
          <w:tbl>
            <w:tblPr>
              <w:tblBorders>
                <w:top w:val="none" w:color="000000" w:sz="4"/>
                <w:left w:val="none" w:color="000000" w:sz="4"/>
                <w:bottom w:val="none" w:color="000000" w:sz="4"/>
                <w:right w:val="none" w:color="000000" w:sz="4"/>
                <w:insideH w:val="none"/>
                <w:insideV w:val="none"/>
              </w:tblBorders>
            </w:tblPr>
            <w:tblGrid>
              <w:gridCol w:w="303"/>
              <w:gridCol w:w="1743"/>
              <w:gridCol w:w="507"/>
            </w:tblGrid>
            <w:tr>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序号</w:t>
                  </w:r>
                </w:p>
              </w:tc>
              <w:tc>
                <w:tcPr>
                  <w:tcW w:type="dxa" w:w="1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货物名称</w:t>
                  </w:r>
                </w:p>
              </w:tc>
              <w:tc>
                <w:tcPr>
                  <w:tcW w:type="dxa" w:w="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数量</w:t>
                  </w:r>
                  <w:r>
                    <w:rPr>
                      <w:rFonts w:ascii="仿宋_GB2312" w:hAnsi="仿宋_GB2312" w:cs="仿宋_GB2312" w:eastAsia="仿宋_GB2312"/>
                      <w:sz w:val="24"/>
                      <w:color w:val="000000"/>
                    </w:rPr>
                    <w:t>及单位</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智慧运营中心数字孪生系统维保</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项</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2</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运维监控中心升级</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项</w:t>
                  </w:r>
                </w:p>
              </w:tc>
            </w:tr>
          </w:tbl>
          <w:p>
            <w:pPr>
              <w:pStyle w:val="null3"/>
              <w:ind w:firstLine="482"/>
              <w:jc w:val="left"/>
            </w:pPr>
            <w:r>
              <w:rPr>
                <w:rFonts w:ascii="仿宋_GB2312" w:hAnsi="仿宋_GB2312" w:cs="仿宋_GB2312" w:eastAsia="仿宋_GB2312"/>
                <w:sz w:val="24"/>
                <w:b/>
                <w:color w:val="000000"/>
              </w:rPr>
              <w:t>技术</w:t>
            </w:r>
            <w:r>
              <w:rPr>
                <w:rFonts w:ascii="仿宋_GB2312" w:hAnsi="仿宋_GB2312" w:cs="仿宋_GB2312" w:eastAsia="仿宋_GB2312"/>
                <w:sz w:val="24"/>
                <w:b/>
                <w:color w:val="000000"/>
              </w:rPr>
              <w:t>规格</w:t>
            </w:r>
            <w:r>
              <w:rPr>
                <w:rFonts w:ascii="仿宋_GB2312" w:hAnsi="仿宋_GB2312" w:cs="仿宋_GB2312" w:eastAsia="仿宋_GB2312"/>
                <w:sz w:val="24"/>
                <w:b/>
                <w:color w:val="000000"/>
              </w:rPr>
              <w:t>要求</w:t>
            </w:r>
          </w:p>
          <w:p>
            <w:pPr>
              <w:pStyle w:val="null3"/>
              <w:ind w:firstLine="482"/>
              <w:jc w:val="left"/>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智慧运营中心数字孪生系统维保</w:t>
            </w:r>
          </w:p>
          <w:p>
            <w:pPr>
              <w:pStyle w:val="null3"/>
              <w:ind w:firstLine="480"/>
              <w:jc w:val="left"/>
            </w:pPr>
            <w:r>
              <w:rPr>
                <w:rFonts w:ascii="仿宋_GB2312" w:hAnsi="仿宋_GB2312" w:cs="仿宋_GB2312" w:eastAsia="仿宋_GB2312"/>
                <w:sz w:val="24"/>
                <w:color w:val="000000"/>
              </w:rPr>
              <w:t>针对医院智慧运营中心的技术服务包括</w:t>
            </w:r>
            <w:r>
              <w:rPr>
                <w:rFonts w:ascii="仿宋_GB2312" w:hAnsi="仿宋_GB2312" w:cs="仿宋_GB2312" w:eastAsia="仿宋_GB2312"/>
                <w:sz w:val="24"/>
                <w:color w:val="000000"/>
              </w:rPr>
              <w:t>，</w:t>
            </w:r>
            <w:r>
              <w:rPr>
                <w:rFonts w:ascii="仿宋_GB2312" w:hAnsi="仿宋_GB2312" w:cs="仿宋_GB2312" w:eastAsia="仿宋_GB2312"/>
                <w:sz w:val="24"/>
                <w:color w:val="000000"/>
              </w:rPr>
              <w:t>现有系统的维保</w:t>
            </w:r>
            <w:r>
              <w:rPr>
                <w:rFonts w:ascii="仿宋_GB2312" w:hAnsi="仿宋_GB2312" w:cs="仿宋_GB2312" w:eastAsia="仿宋_GB2312"/>
                <w:sz w:val="24"/>
                <w:color w:val="000000"/>
              </w:rPr>
              <w:t>，</w:t>
            </w:r>
            <w:r>
              <w:rPr>
                <w:rFonts w:ascii="仿宋_GB2312" w:hAnsi="仿宋_GB2312" w:cs="仿宋_GB2312" w:eastAsia="仿宋_GB2312"/>
                <w:sz w:val="24"/>
                <w:color w:val="000000"/>
              </w:rPr>
              <w:t>包括使用咨询</w:t>
            </w:r>
            <w:r>
              <w:rPr>
                <w:rFonts w:ascii="仿宋_GB2312" w:hAnsi="仿宋_GB2312" w:cs="仿宋_GB2312" w:eastAsia="仿宋_GB2312"/>
                <w:sz w:val="24"/>
                <w:color w:val="000000"/>
              </w:rPr>
              <w:t>、</w:t>
            </w:r>
            <w:r>
              <w:rPr>
                <w:rFonts w:ascii="仿宋_GB2312" w:hAnsi="仿宋_GB2312" w:cs="仿宋_GB2312" w:eastAsia="仿宋_GB2312"/>
                <w:sz w:val="24"/>
                <w:color w:val="000000"/>
              </w:rPr>
              <w:t>远程技术支持</w:t>
            </w:r>
            <w:r>
              <w:rPr>
                <w:rFonts w:ascii="仿宋_GB2312" w:hAnsi="仿宋_GB2312" w:cs="仿宋_GB2312" w:eastAsia="仿宋_GB2312"/>
                <w:sz w:val="24"/>
                <w:color w:val="000000"/>
              </w:rPr>
              <w:t>、</w:t>
            </w:r>
            <w:r>
              <w:rPr>
                <w:rFonts w:ascii="仿宋_GB2312" w:hAnsi="仿宋_GB2312" w:cs="仿宋_GB2312" w:eastAsia="仿宋_GB2312"/>
                <w:sz w:val="24"/>
                <w:color w:val="000000"/>
              </w:rPr>
              <w:t>巡检培训升级等工作</w:t>
            </w:r>
            <w:r>
              <w:rPr>
                <w:rFonts w:ascii="仿宋_GB2312" w:hAnsi="仿宋_GB2312" w:cs="仿宋_GB2312" w:eastAsia="仿宋_GB2312"/>
                <w:sz w:val="24"/>
                <w:color w:val="000000"/>
              </w:rPr>
              <w:t>，</w:t>
            </w:r>
            <w:r>
              <w:rPr>
                <w:rFonts w:ascii="仿宋_GB2312" w:hAnsi="仿宋_GB2312" w:cs="仿宋_GB2312" w:eastAsia="仿宋_GB2312"/>
                <w:sz w:val="24"/>
                <w:color w:val="000000"/>
              </w:rPr>
              <w:t>日常巡检频率不少于每三个月一次</w:t>
            </w:r>
            <w:r>
              <w:rPr>
                <w:rFonts w:ascii="仿宋_GB2312" w:hAnsi="仿宋_GB2312" w:cs="仿宋_GB2312" w:eastAsia="仿宋_GB2312"/>
                <w:sz w:val="24"/>
                <w:color w:val="000000"/>
              </w:rPr>
              <w:t>。</w:t>
            </w:r>
            <w:r>
              <w:rPr>
                <w:rFonts w:ascii="仿宋_GB2312" w:hAnsi="仿宋_GB2312" w:cs="仿宋_GB2312" w:eastAsia="仿宋_GB2312"/>
                <w:sz w:val="24"/>
                <w:color w:val="000000"/>
              </w:rPr>
              <w:t>具体要求如下</w:t>
            </w:r>
            <w:r>
              <w:rPr>
                <w:rFonts w:ascii="仿宋_GB2312" w:hAnsi="仿宋_GB2312" w:cs="仿宋_GB2312" w:eastAsia="仿宋_GB2312"/>
                <w:sz w:val="24"/>
                <w:color w:val="000000"/>
              </w:rPr>
              <w:t>：</w:t>
            </w:r>
          </w:p>
          <w:tbl>
            <w:tblPr>
              <w:tblInd w:type="dxa" w:w="120"/>
              <w:tblBorders>
                <w:top w:val="none" w:color="000000" w:sz="4"/>
                <w:left w:val="none" w:color="000000" w:sz="4"/>
                <w:bottom w:val="none" w:color="000000" w:sz="4"/>
                <w:right w:val="none" w:color="000000" w:sz="4"/>
                <w:insideH w:val="none"/>
                <w:insideV w:val="none"/>
              </w:tblBorders>
            </w:tblPr>
            <w:tblGrid>
              <w:gridCol w:w="472"/>
              <w:gridCol w:w="1860"/>
              <w:gridCol w:w="215"/>
            </w:tblGrid>
            <w:tr>
              <w:tc>
                <w:tcPr>
                  <w:tcW w:type="dxa" w:w="4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名称</w:t>
                  </w:r>
                </w:p>
              </w:tc>
              <w:tc>
                <w:tcPr>
                  <w:tcW w:type="dxa" w:w="18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技术要求</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数量</w:t>
                  </w: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智慧运营中心数字孪生系统维保</w:t>
                  </w:r>
                </w:p>
              </w:tc>
              <w:tc>
                <w:tcPr>
                  <w:tcW w:type="dxa" w:w="1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1、产品使用咨询：通过电话支持热线，帮助客户快速解决产品使用中遇到的各类问题，若无法在第一时间解决，热线人员会记录客户联系信息，在得到解决方案后，主动与客户联系。</w:t>
                  </w:r>
                </w:p>
                <w:p>
                  <w:pPr>
                    <w:pStyle w:val="null3"/>
                    <w:ind w:firstLine="480"/>
                    <w:jc w:val="left"/>
                  </w:pPr>
                  <w:r>
                    <w:rPr>
                      <w:rFonts w:ascii="仿宋_GB2312" w:hAnsi="仿宋_GB2312" w:cs="仿宋_GB2312" w:eastAsia="仿宋_GB2312"/>
                      <w:sz w:val="24"/>
                      <w:color w:val="000000"/>
                    </w:rPr>
                    <w:t>2、远程技术支持：在接到客户方的服务请求后，通过远程技术手段，如VPN、远程桌面等，在客户系统发生故障或需要技术支持的情况下，协助客户查找故障，分析并提出故障的解决方案或临时解决方案。</w:t>
                  </w:r>
                </w:p>
                <w:p>
                  <w:pPr>
                    <w:pStyle w:val="null3"/>
                    <w:ind w:firstLine="480"/>
                    <w:jc w:val="left"/>
                  </w:pPr>
                  <w:r>
                    <w:rPr>
                      <w:rFonts w:ascii="仿宋_GB2312" w:hAnsi="仿宋_GB2312" w:cs="仿宋_GB2312" w:eastAsia="仿宋_GB2312"/>
                      <w:sz w:val="24"/>
                      <w:color w:val="000000"/>
                    </w:rPr>
                    <w:t>3、远程变更支持：提供15次/年的点位增加，更换、删除及因点位变化后接口变更服务，单次点位变更不超过100个。</w:t>
                  </w:r>
                </w:p>
                <w:p>
                  <w:pPr>
                    <w:pStyle w:val="null3"/>
                    <w:ind w:firstLine="480"/>
                    <w:jc w:val="left"/>
                  </w:pPr>
                  <w:r>
                    <w:rPr>
                      <w:rFonts w:ascii="仿宋_GB2312" w:hAnsi="仿宋_GB2312" w:cs="仿宋_GB2312" w:eastAsia="仿宋_GB2312"/>
                      <w:sz w:val="24"/>
                      <w:color w:val="000000"/>
                    </w:rPr>
                    <w:t>4、提供4次/年的系统巡检服务，巡检时间安排在每季度最后一个月的月初，也可根据客户的实际需求进行调整；对于巡检中发现的各类问题，将根据问题复杂程度和严重情况，与客户协商整改时间；在现场巡检完成后，技术人员需出具《系统巡检报告》。</w:t>
                  </w:r>
                </w:p>
                <w:p>
                  <w:pPr>
                    <w:pStyle w:val="null3"/>
                    <w:ind w:firstLine="480"/>
                    <w:jc w:val="left"/>
                  </w:pPr>
                  <w:r>
                    <w:rPr>
                      <w:rFonts w:ascii="仿宋_GB2312" w:hAnsi="仿宋_GB2312" w:cs="仿宋_GB2312" w:eastAsia="仿宋_GB2312"/>
                      <w:sz w:val="24"/>
                      <w:color w:val="000000"/>
                    </w:rPr>
                    <w:t>5、现场培训：对系统管理员及该系统相关岗位操作人员进行产品、操作和维护培训。</w:t>
                  </w:r>
                </w:p>
                <w:p>
                  <w:pPr>
                    <w:pStyle w:val="null3"/>
                    <w:ind w:firstLine="480"/>
                    <w:jc w:val="left"/>
                  </w:pPr>
                  <w:r>
                    <w:rPr>
                      <w:rFonts w:ascii="仿宋_GB2312" w:hAnsi="仿宋_GB2312" w:cs="仿宋_GB2312" w:eastAsia="仿宋_GB2312"/>
                      <w:sz w:val="24"/>
                      <w:color w:val="000000"/>
                    </w:rPr>
                    <w:t>6、系统升级：版本升级及BUG修复。</w:t>
                  </w:r>
                </w:p>
                <w:p>
                  <w:pPr>
                    <w:pStyle w:val="null3"/>
                    <w:ind w:firstLine="48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提供智慧运营中心数字孪生系统厂家一年</w:t>
                  </w:r>
                  <w:r>
                    <w:rPr>
                      <w:rFonts w:ascii="仿宋_GB2312" w:hAnsi="仿宋_GB2312" w:cs="仿宋_GB2312" w:eastAsia="仿宋_GB2312"/>
                      <w:sz w:val="24"/>
                      <w:color w:val="000000"/>
                    </w:rPr>
                    <w:t>（合同签订之日起）</w:t>
                  </w:r>
                  <w:r>
                    <w:rPr>
                      <w:rFonts w:ascii="仿宋_GB2312" w:hAnsi="仿宋_GB2312" w:cs="仿宋_GB2312" w:eastAsia="仿宋_GB2312"/>
                      <w:sz w:val="24"/>
                      <w:color w:val="000000"/>
                    </w:rPr>
                    <w:t>原厂服务承诺函</w:t>
                  </w:r>
                  <w:r>
                    <w:rPr>
                      <w:rFonts w:ascii="仿宋_GB2312" w:hAnsi="仿宋_GB2312" w:cs="仿宋_GB2312" w:eastAsia="仿宋_GB2312"/>
                      <w:sz w:val="24"/>
                      <w:color w:val="00000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项</w:t>
                  </w:r>
                </w:p>
              </w:tc>
            </w:tr>
          </w:tbl>
          <w:p>
            <w:pPr>
              <w:pStyle w:val="null3"/>
              <w:ind w:firstLine="482"/>
              <w:jc w:val="left"/>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2</w:t>
            </w:r>
            <w:r>
              <w:rPr>
                <w:rFonts w:ascii="仿宋_GB2312" w:hAnsi="仿宋_GB2312" w:cs="仿宋_GB2312" w:eastAsia="仿宋_GB2312"/>
                <w:sz w:val="24"/>
                <w:b/>
                <w:color w:val="000000"/>
              </w:rPr>
              <w:t>运维监控中心升级</w:t>
            </w:r>
          </w:p>
          <w:p>
            <w:pPr>
              <w:pStyle w:val="null3"/>
              <w:ind w:firstLine="480"/>
              <w:jc w:val="left"/>
            </w:pPr>
            <w:r>
              <w:rPr>
                <w:rFonts w:ascii="仿宋_GB2312" w:hAnsi="仿宋_GB2312" w:cs="仿宋_GB2312" w:eastAsia="仿宋_GB2312"/>
                <w:sz w:val="24"/>
                <w:color w:val="000000"/>
              </w:rPr>
              <w:t>针对医院在用的运维监控平台</w:t>
            </w:r>
            <w:r>
              <w:rPr>
                <w:rFonts w:ascii="仿宋_GB2312" w:hAnsi="仿宋_GB2312" w:cs="仿宋_GB2312" w:eastAsia="仿宋_GB2312"/>
                <w:sz w:val="24"/>
                <w:color w:val="000000"/>
              </w:rPr>
              <w:t>，</w:t>
            </w:r>
            <w:r>
              <w:rPr>
                <w:rFonts w:ascii="仿宋_GB2312" w:hAnsi="仿宋_GB2312" w:cs="仿宋_GB2312" w:eastAsia="仿宋_GB2312"/>
                <w:sz w:val="24"/>
                <w:color w:val="000000"/>
              </w:rPr>
              <w:t>集</w:t>
            </w:r>
            <w:r>
              <w:rPr>
                <w:rFonts w:ascii="仿宋_GB2312" w:hAnsi="仿宋_GB2312" w:cs="仿宋_GB2312" w:eastAsia="仿宋_GB2312"/>
                <w:sz w:val="24"/>
                <w:color w:val="000000"/>
              </w:rPr>
              <w:t>成</w:t>
            </w:r>
            <w:r>
              <w:rPr>
                <w:rFonts w:ascii="仿宋_GB2312" w:hAnsi="仿宋_GB2312" w:cs="仿宋_GB2312" w:eastAsia="仿宋_GB2312"/>
                <w:sz w:val="24"/>
                <w:color w:val="000000"/>
              </w:rPr>
              <w:t>两</w:t>
            </w:r>
            <w:r>
              <w:rPr>
                <w:rFonts w:ascii="仿宋_GB2312" w:hAnsi="仿宋_GB2312" w:cs="仿宋_GB2312" w:eastAsia="仿宋_GB2312"/>
                <w:sz w:val="24"/>
                <w:color w:val="000000"/>
              </w:rPr>
              <w:t>个</w:t>
            </w:r>
            <w:r>
              <w:rPr>
                <w:rFonts w:ascii="仿宋_GB2312" w:hAnsi="仿宋_GB2312" w:cs="仿宋_GB2312" w:eastAsia="仿宋_GB2312"/>
                <w:sz w:val="24"/>
                <w:color w:val="000000"/>
              </w:rPr>
              <w:t>数据中心动环系统</w:t>
            </w:r>
            <w:r>
              <w:rPr>
                <w:rFonts w:ascii="仿宋_GB2312" w:hAnsi="仿宋_GB2312" w:cs="仿宋_GB2312" w:eastAsia="仿宋_GB2312"/>
                <w:sz w:val="24"/>
                <w:color w:val="000000"/>
              </w:rPr>
              <w:t>、</w:t>
            </w:r>
            <w:r>
              <w:rPr>
                <w:rFonts w:ascii="仿宋_GB2312" w:hAnsi="仿宋_GB2312" w:cs="仿宋_GB2312" w:eastAsia="仿宋_GB2312"/>
                <w:sz w:val="24"/>
                <w:color w:val="000000"/>
              </w:rPr>
              <w:t>私有云系统</w:t>
            </w:r>
            <w:r>
              <w:rPr>
                <w:rFonts w:ascii="仿宋_GB2312" w:hAnsi="仿宋_GB2312" w:cs="仿宋_GB2312" w:eastAsia="仿宋_GB2312"/>
                <w:sz w:val="24"/>
                <w:color w:val="000000"/>
              </w:rPr>
              <w:t>、</w:t>
            </w:r>
            <w:r>
              <w:rPr>
                <w:rFonts w:ascii="仿宋_GB2312" w:hAnsi="仿宋_GB2312" w:cs="仿宋_GB2312" w:eastAsia="仿宋_GB2312"/>
                <w:sz w:val="24"/>
                <w:color w:val="000000"/>
              </w:rPr>
              <w:t>备份系统等实现医院资源</w:t>
            </w:r>
            <w:r>
              <w:rPr>
                <w:rFonts w:ascii="仿宋_GB2312" w:hAnsi="仿宋_GB2312" w:cs="仿宋_GB2312" w:eastAsia="仿宋_GB2312"/>
                <w:sz w:val="24"/>
                <w:color w:val="000000"/>
              </w:rPr>
              <w:t>、</w:t>
            </w:r>
            <w:r>
              <w:rPr>
                <w:rFonts w:ascii="仿宋_GB2312" w:hAnsi="仿宋_GB2312" w:cs="仿宋_GB2312" w:eastAsia="仿宋_GB2312"/>
                <w:sz w:val="24"/>
                <w:color w:val="000000"/>
              </w:rPr>
              <w:t>监控</w:t>
            </w:r>
            <w:r>
              <w:rPr>
                <w:rFonts w:ascii="仿宋_GB2312" w:hAnsi="仿宋_GB2312" w:cs="仿宋_GB2312" w:eastAsia="仿宋_GB2312"/>
                <w:sz w:val="24"/>
                <w:color w:val="000000"/>
              </w:rPr>
              <w:t>、</w:t>
            </w:r>
            <w:r>
              <w:rPr>
                <w:rFonts w:ascii="仿宋_GB2312" w:hAnsi="仿宋_GB2312" w:cs="仿宋_GB2312" w:eastAsia="仿宋_GB2312"/>
                <w:sz w:val="24"/>
                <w:color w:val="000000"/>
              </w:rPr>
              <w:t>预警的统一管理</w:t>
            </w:r>
            <w:r>
              <w:rPr>
                <w:rFonts w:ascii="仿宋_GB2312" w:hAnsi="仿宋_GB2312" w:cs="仿宋_GB2312" w:eastAsia="仿宋_GB2312"/>
                <w:sz w:val="24"/>
                <w:color w:val="000000"/>
              </w:rPr>
              <w:t>。</w:t>
            </w:r>
            <w:r>
              <w:rPr>
                <w:rFonts w:ascii="仿宋_GB2312" w:hAnsi="仿宋_GB2312" w:cs="仿宋_GB2312" w:eastAsia="仿宋_GB2312"/>
                <w:sz w:val="24"/>
                <w:color w:val="000000"/>
              </w:rPr>
              <w:t>具体要求如下</w:t>
            </w:r>
            <w:r>
              <w:rPr>
                <w:rFonts w:ascii="仿宋_GB2312" w:hAnsi="仿宋_GB2312" w:cs="仿宋_GB2312" w:eastAsia="仿宋_GB2312"/>
                <w:sz w:val="24"/>
                <w:color w:val="000000"/>
              </w:rPr>
              <w:t>：</w:t>
            </w:r>
          </w:p>
          <w:tbl>
            <w:tblPr>
              <w:tblInd w:type="dxa" w:w="120"/>
              <w:tblBorders>
                <w:top w:val="none" w:color="000000" w:sz="4"/>
                <w:left w:val="none" w:color="000000" w:sz="4"/>
                <w:bottom w:val="none" w:color="000000" w:sz="4"/>
                <w:right w:val="none" w:color="000000" w:sz="4"/>
                <w:insideH w:val="none"/>
                <w:insideV w:val="none"/>
              </w:tblBorders>
            </w:tblPr>
            <w:tblGrid>
              <w:gridCol w:w="472"/>
              <w:gridCol w:w="1860"/>
              <w:gridCol w:w="215"/>
            </w:tblGrid>
            <w:tr>
              <w:tc>
                <w:tcPr>
                  <w:tcW w:type="dxa" w:w="4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名称</w:t>
                  </w:r>
                </w:p>
              </w:tc>
              <w:tc>
                <w:tcPr>
                  <w:tcW w:type="dxa" w:w="18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技术要求</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数量</w:t>
                  </w: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运维监控中心系统升级</w:t>
                  </w:r>
                </w:p>
              </w:tc>
              <w:tc>
                <w:tcPr>
                  <w:tcW w:type="dxa" w:w="1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1、系统升级：</w:t>
                  </w:r>
                  <w:r>
                    <w:rPr>
                      <w:rFonts w:ascii="仿宋_GB2312" w:hAnsi="仿宋_GB2312" w:cs="仿宋_GB2312" w:eastAsia="仿宋_GB2312"/>
                      <w:sz w:val="24"/>
                      <w:color w:val="000000"/>
                    </w:rPr>
                    <w:t>监控中心实现对医院数据中心的动环系统</w:t>
                  </w:r>
                  <w:r>
                    <w:rPr>
                      <w:rFonts w:ascii="仿宋_GB2312" w:hAnsi="仿宋_GB2312" w:cs="仿宋_GB2312" w:eastAsia="仿宋_GB2312"/>
                      <w:sz w:val="24"/>
                      <w:color w:val="000000"/>
                    </w:rPr>
                    <w:t>、</w:t>
                  </w:r>
                  <w:r>
                    <w:rPr>
                      <w:rFonts w:ascii="仿宋_GB2312" w:hAnsi="仿宋_GB2312" w:cs="仿宋_GB2312" w:eastAsia="仿宋_GB2312"/>
                      <w:sz w:val="24"/>
                      <w:color w:val="000000"/>
                    </w:rPr>
                    <w:t>备份系统</w:t>
                  </w:r>
                  <w:r>
                    <w:rPr>
                      <w:rFonts w:ascii="仿宋_GB2312" w:hAnsi="仿宋_GB2312" w:cs="仿宋_GB2312" w:eastAsia="仿宋_GB2312"/>
                      <w:sz w:val="24"/>
                      <w:color w:val="000000"/>
                    </w:rPr>
                    <w:t>、</w:t>
                  </w:r>
                  <w:r>
                    <w:rPr>
                      <w:rFonts w:ascii="仿宋_GB2312" w:hAnsi="仿宋_GB2312" w:cs="仿宋_GB2312" w:eastAsia="仿宋_GB2312"/>
                      <w:sz w:val="24"/>
                      <w:color w:val="000000"/>
                    </w:rPr>
                    <w:t>私有云系统等接口开发</w:t>
                  </w:r>
                  <w:r>
                    <w:rPr>
                      <w:rFonts w:ascii="仿宋_GB2312" w:hAnsi="仿宋_GB2312" w:cs="仿宋_GB2312" w:eastAsia="仿宋_GB2312"/>
                      <w:sz w:val="24"/>
                      <w:color w:val="000000"/>
                    </w:rPr>
                    <w:t>，</w:t>
                  </w:r>
                  <w:r>
                    <w:rPr>
                      <w:rFonts w:ascii="仿宋_GB2312" w:hAnsi="仿宋_GB2312" w:cs="仿宋_GB2312" w:eastAsia="仿宋_GB2312"/>
                      <w:sz w:val="24"/>
                      <w:color w:val="000000"/>
                    </w:rPr>
                    <w:t>实现医院统一的计算</w:t>
                  </w:r>
                  <w:r>
                    <w:rPr>
                      <w:rFonts w:ascii="仿宋_GB2312" w:hAnsi="仿宋_GB2312" w:cs="仿宋_GB2312" w:eastAsia="仿宋_GB2312"/>
                      <w:sz w:val="24"/>
                      <w:color w:val="000000"/>
                    </w:rPr>
                    <w:t>、</w:t>
                  </w:r>
                  <w:r>
                    <w:rPr>
                      <w:rFonts w:ascii="仿宋_GB2312" w:hAnsi="仿宋_GB2312" w:cs="仿宋_GB2312" w:eastAsia="仿宋_GB2312"/>
                      <w:sz w:val="24"/>
                      <w:color w:val="000000"/>
                    </w:rPr>
                    <w:t>网络</w:t>
                  </w:r>
                  <w:r>
                    <w:rPr>
                      <w:rFonts w:ascii="仿宋_GB2312" w:hAnsi="仿宋_GB2312" w:cs="仿宋_GB2312" w:eastAsia="仿宋_GB2312"/>
                      <w:sz w:val="24"/>
                      <w:color w:val="000000"/>
                    </w:rPr>
                    <w:t>、</w:t>
                  </w:r>
                  <w:r>
                    <w:rPr>
                      <w:rFonts w:ascii="仿宋_GB2312" w:hAnsi="仿宋_GB2312" w:cs="仿宋_GB2312" w:eastAsia="仿宋_GB2312"/>
                      <w:sz w:val="24"/>
                      <w:color w:val="000000"/>
                    </w:rPr>
                    <w:t>存储等资源查看</w:t>
                  </w:r>
                  <w:r>
                    <w:rPr>
                      <w:rFonts w:ascii="仿宋_GB2312" w:hAnsi="仿宋_GB2312" w:cs="仿宋_GB2312" w:eastAsia="仿宋_GB2312"/>
                      <w:sz w:val="24"/>
                      <w:color w:val="000000"/>
                    </w:rPr>
                    <w:t>、</w:t>
                  </w:r>
                  <w:r>
                    <w:rPr>
                      <w:rFonts w:ascii="仿宋_GB2312" w:hAnsi="仿宋_GB2312" w:cs="仿宋_GB2312" w:eastAsia="仿宋_GB2312"/>
                      <w:sz w:val="24"/>
                      <w:color w:val="000000"/>
                    </w:rPr>
                    <w:t>报警</w:t>
                  </w:r>
                  <w:r>
                    <w:rPr>
                      <w:rFonts w:ascii="仿宋_GB2312" w:hAnsi="仿宋_GB2312" w:cs="仿宋_GB2312" w:eastAsia="仿宋_GB2312"/>
                      <w:sz w:val="24"/>
                      <w:color w:val="000000"/>
                    </w:rPr>
                    <w:t>、</w:t>
                  </w:r>
                  <w:r>
                    <w:rPr>
                      <w:rFonts w:ascii="仿宋_GB2312" w:hAnsi="仿宋_GB2312" w:cs="仿宋_GB2312" w:eastAsia="仿宋_GB2312"/>
                      <w:sz w:val="24"/>
                      <w:color w:val="000000"/>
                    </w:rPr>
                    <w:t>预警等功能</w:t>
                  </w:r>
                  <w:r>
                    <w:rPr>
                      <w:rFonts w:ascii="仿宋_GB2312" w:hAnsi="仿宋_GB2312" w:cs="仿宋_GB2312" w:eastAsia="仿宋_GB2312"/>
                      <w:sz w:val="24"/>
                      <w:color w:val="000000"/>
                    </w:rPr>
                    <w:t>，</w:t>
                  </w:r>
                  <w:r>
                    <w:rPr>
                      <w:rFonts w:ascii="仿宋_GB2312" w:hAnsi="仿宋_GB2312" w:cs="仿宋_GB2312" w:eastAsia="仿宋_GB2312"/>
                      <w:sz w:val="24"/>
                      <w:color w:val="000000"/>
                    </w:rPr>
                    <w:t>实现短信</w:t>
                  </w:r>
                  <w:r>
                    <w:rPr>
                      <w:rFonts w:ascii="仿宋_GB2312" w:hAnsi="仿宋_GB2312" w:cs="仿宋_GB2312" w:eastAsia="仿宋_GB2312"/>
                      <w:sz w:val="24"/>
                      <w:color w:val="000000"/>
                    </w:rPr>
                    <w:t>、</w:t>
                  </w:r>
                  <w:r>
                    <w:rPr>
                      <w:rFonts w:ascii="仿宋_GB2312" w:hAnsi="仿宋_GB2312" w:cs="仿宋_GB2312" w:eastAsia="仿宋_GB2312"/>
                      <w:sz w:val="24"/>
                      <w:color w:val="000000"/>
                    </w:rPr>
                    <w:t>微信的责任人通知功能</w:t>
                  </w:r>
                  <w:r>
                    <w:rPr>
                      <w:rFonts w:ascii="仿宋_GB2312" w:hAnsi="仿宋_GB2312" w:cs="仿宋_GB2312" w:eastAsia="仿宋_GB2312"/>
                      <w:sz w:val="24"/>
                      <w:color w:val="000000"/>
                    </w:rPr>
                    <w:t>，</w:t>
                  </w:r>
                  <w:r>
                    <w:rPr>
                      <w:rFonts w:ascii="仿宋_GB2312" w:hAnsi="仿宋_GB2312" w:cs="仿宋_GB2312" w:eastAsia="仿宋_GB2312"/>
                      <w:sz w:val="24"/>
                      <w:color w:val="000000"/>
                    </w:rPr>
                    <w:t>实现医院统一的智慧报预警大屏功能</w:t>
                  </w:r>
                  <w:r>
                    <w:rPr>
                      <w:rFonts w:ascii="仿宋_GB2312" w:hAnsi="仿宋_GB2312" w:cs="仿宋_GB2312" w:eastAsia="仿宋_GB2312"/>
                      <w:sz w:val="24"/>
                      <w:color w:val="000000"/>
                    </w:rPr>
                    <w:t>（</w:t>
                  </w:r>
                  <w:r>
                    <w:rPr>
                      <w:rFonts w:ascii="仿宋_GB2312" w:hAnsi="仿宋_GB2312" w:cs="仿宋_GB2312" w:eastAsia="仿宋_GB2312"/>
                      <w:sz w:val="24"/>
                      <w:color w:val="000000"/>
                    </w:rPr>
                    <w:t>依据客户要求定制不少于</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个大屏展示系统</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2、远程技术支持：在接到客户方的服务请求后，通过远程技术手段，如VPN、远程桌面等，在客户系统发生故障或需要技术支持的情况下，协助客户查找故障，分析并提出故障的解决方案或临时解决方案。</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运维中心</w:t>
                  </w:r>
                  <w:r>
                    <w:rPr>
                      <w:rFonts w:ascii="仿宋_GB2312" w:hAnsi="仿宋_GB2312" w:cs="仿宋_GB2312" w:eastAsia="仿宋_GB2312"/>
                      <w:sz w:val="24"/>
                      <w:color w:val="000000"/>
                    </w:rPr>
                    <w:t>变更支持：提供</w:t>
                  </w:r>
                  <w:r>
                    <w:rPr>
                      <w:rFonts w:ascii="仿宋_GB2312" w:hAnsi="仿宋_GB2312" w:cs="仿宋_GB2312" w:eastAsia="仿宋_GB2312"/>
                      <w:sz w:val="24"/>
                      <w:color w:val="000000"/>
                    </w:rPr>
                    <w:t>每年不限次数的</w:t>
                  </w:r>
                  <w:r>
                    <w:rPr>
                      <w:rFonts w:ascii="仿宋_GB2312" w:hAnsi="仿宋_GB2312" w:cs="仿宋_GB2312" w:eastAsia="仿宋_GB2312"/>
                      <w:sz w:val="24"/>
                      <w:color w:val="000000"/>
                    </w:rPr>
                    <w:t>点位增加，更换、删除及因点位变化后接口变更服务。</w:t>
                  </w:r>
                </w:p>
                <w:p>
                  <w:pPr>
                    <w:pStyle w:val="null3"/>
                    <w:ind w:firstLine="480"/>
                    <w:jc w:val="left"/>
                  </w:pPr>
                  <w:r>
                    <w:rPr>
                      <w:rFonts w:ascii="仿宋_GB2312" w:hAnsi="仿宋_GB2312" w:cs="仿宋_GB2312" w:eastAsia="仿宋_GB2312"/>
                      <w:sz w:val="24"/>
                      <w:color w:val="000000"/>
                    </w:rPr>
                    <w:t>4、提供</w:t>
                  </w:r>
                  <w:r>
                    <w:rPr>
                      <w:rFonts w:ascii="仿宋_GB2312" w:hAnsi="仿宋_GB2312" w:cs="仿宋_GB2312" w:eastAsia="仿宋_GB2312"/>
                      <w:sz w:val="24"/>
                      <w:color w:val="000000"/>
                    </w:rPr>
                    <w:t>12</w:t>
                  </w:r>
                  <w:r>
                    <w:rPr>
                      <w:rFonts w:ascii="仿宋_GB2312" w:hAnsi="仿宋_GB2312" w:cs="仿宋_GB2312" w:eastAsia="仿宋_GB2312"/>
                      <w:sz w:val="24"/>
                      <w:color w:val="000000"/>
                    </w:rPr>
                    <w:t>次</w:t>
                  </w:r>
                  <w:r>
                    <w:rPr>
                      <w:rFonts w:ascii="仿宋_GB2312" w:hAnsi="仿宋_GB2312" w:cs="仿宋_GB2312" w:eastAsia="仿宋_GB2312"/>
                      <w:sz w:val="24"/>
                      <w:color w:val="000000"/>
                    </w:rPr>
                    <w:t>/年的系统巡检服务，巡检完成后，</w:t>
                  </w:r>
                  <w:r>
                    <w:rPr>
                      <w:rFonts w:ascii="仿宋_GB2312" w:hAnsi="仿宋_GB2312" w:cs="仿宋_GB2312" w:eastAsia="仿宋_GB2312"/>
                      <w:sz w:val="24"/>
                      <w:color w:val="000000"/>
                    </w:rPr>
                    <w:t>运维中心</w:t>
                  </w:r>
                  <w:r>
                    <w:rPr>
                      <w:rFonts w:ascii="仿宋_GB2312" w:hAnsi="仿宋_GB2312" w:cs="仿宋_GB2312" w:eastAsia="仿宋_GB2312"/>
                      <w:sz w:val="24"/>
                      <w:color w:val="000000"/>
                    </w:rPr>
                    <w:t>技术人员</w:t>
                  </w:r>
                  <w:r>
                    <w:rPr>
                      <w:rFonts w:ascii="仿宋_GB2312" w:hAnsi="仿宋_GB2312" w:cs="仿宋_GB2312" w:eastAsia="仿宋_GB2312"/>
                      <w:sz w:val="24"/>
                      <w:color w:val="000000"/>
                    </w:rPr>
                    <w:t>需</w:t>
                  </w:r>
                  <w:r>
                    <w:rPr>
                      <w:rFonts w:ascii="仿宋_GB2312" w:hAnsi="仿宋_GB2312" w:cs="仿宋_GB2312" w:eastAsia="仿宋_GB2312"/>
                      <w:sz w:val="24"/>
                      <w:color w:val="000000"/>
                    </w:rPr>
                    <w:t>出具《系统巡检报告》。</w:t>
                  </w:r>
                </w:p>
                <w:p>
                  <w:pPr>
                    <w:pStyle w:val="null3"/>
                    <w:ind w:firstLine="480"/>
                    <w:jc w:val="left"/>
                  </w:pPr>
                  <w:r>
                    <w:rPr>
                      <w:rFonts w:ascii="仿宋_GB2312" w:hAnsi="仿宋_GB2312" w:cs="仿宋_GB2312" w:eastAsia="仿宋_GB2312"/>
                      <w:sz w:val="24"/>
                      <w:color w:val="000000"/>
                    </w:rPr>
                    <w:t>5、现场培训：对系统管理员及该系统相关岗位操作人员进行产品、操作和维护培训。</w:t>
                  </w:r>
                </w:p>
                <w:p>
                  <w:pPr>
                    <w:pStyle w:val="null3"/>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提供监控中心厂家一年</w:t>
                  </w:r>
                  <w:r>
                    <w:rPr>
                      <w:rFonts w:ascii="仿宋_GB2312" w:hAnsi="仿宋_GB2312" w:cs="仿宋_GB2312" w:eastAsia="仿宋_GB2312"/>
                      <w:sz w:val="24"/>
                      <w:color w:val="000000"/>
                    </w:rPr>
                    <w:t>（验收合格之日起）</w:t>
                  </w:r>
                  <w:r>
                    <w:rPr>
                      <w:rFonts w:ascii="仿宋_GB2312" w:hAnsi="仿宋_GB2312" w:cs="仿宋_GB2312" w:eastAsia="仿宋_GB2312"/>
                      <w:sz w:val="24"/>
                      <w:color w:val="000000"/>
                    </w:rPr>
                    <w:t>原厂服务承诺函</w:t>
                  </w:r>
                  <w:r>
                    <w:rPr>
                      <w:rFonts w:ascii="仿宋_GB2312" w:hAnsi="仿宋_GB2312" w:cs="仿宋_GB2312" w:eastAsia="仿宋_GB2312"/>
                      <w:sz w:val="24"/>
                      <w:color w:val="00000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项</w:t>
                  </w:r>
                </w:p>
              </w:tc>
            </w:tr>
          </w:tbl>
          <w:p>
            <w:pPr>
              <w:pStyle w:val="null3"/>
            </w:pPr>
            <w:r>
              <w:rPr>
                <w:rFonts w:ascii="仿宋_GB2312" w:hAnsi="仿宋_GB2312" w:cs="仿宋_GB2312" w:eastAsia="仿宋_GB2312"/>
                <w:sz w:val="24"/>
                <w:b/>
              </w:rPr>
              <w:t>二、</w:t>
            </w:r>
            <w:r>
              <w:rPr>
                <w:rFonts w:ascii="仿宋_GB2312" w:hAnsi="仿宋_GB2312" w:cs="仿宋_GB2312" w:eastAsia="仿宋_GB2312"/>
                <w:sz w:val="24"/>
                <w:b/>
              </w:rPr>
              <w:t>项目实施</w:t>
            </w:r>
            <w:r>
              <w:rPr>
                <w:rFonts w:ascii="仿宋_GB2312" w:hAnsi="仿宋_GB2312" w:cs="仿宋_GB2312" w:eastAsia="仿宋_GB2312"/>
                <w:sz w:val="24"/>
                <w:b/>
              </w:rPr>
              <w:t>期限</w:t>
            </w:r>
            <w:r>
              <w:rPr>
                <w:rFonts w:ascii="仿宋_GB2312" w:hAnsi="仿宋_GB2312" w:cs="仿宋_GB2312" w:eastAsia="仿宋_GB2312"/>
                <w:sz w:val="24"/>
                <w:b/>
              </w:rPr>
              <w:t>：</w:t>
            </w:r>
            <w:r>
              <w:rPr>
                <w:rFonts w:ascii="仿宋_GB2312" w:hAnsi="仿宋_GB2312" w:cs="仿宋_GB2312" w:eastAsia="仿宋_GB2312"/>
                <w:sz w:val="24"/>
                <w:b/>
              </w:rPr>
              <w:t>1年</w:t>
            </w:r>
            <w:r>
              <w:rPr>
                <w:rFonts w:ascii="仿宋_GB2312" w:hAnsi="仿宋_GB2312" w:cs="仿宋_GB2312" w:eastAsia="仿宋_GB2312"/>
                <w:sz w:val="24"/>
                <w:b/>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按照项目需求配置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按照项目需求配置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按照项目需求配置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供应商按照采购需求可能涉及的设施设备在响应文件中自行列出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供应商按照采购需求可能涉及的设施设备在响应文件中自行列出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供应商按照采购需求可能涉及的设施设备在响应文件中自行列出</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供应商按照采购需求可能涉及的设施设备在响应文件中自行列出</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满足国家、行业及医院标准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满足国家、行业及医院标准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满足国家、行业及医院标准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满足国家、行业及医院标准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合同签订后180天内完成项目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项目实施期：180天</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渭南市中心医院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渭南市中心医院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渭南市中心医院</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渭南中心医院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(1)符合国家法律法规规定的标准、合同文本、竞争性磋商文件和竞争性磋商响应文件的要求。 （2）供应商完成全部项目内容，向采购人提交验收申请，约请采购人和有关部门进行验收。采购人自接到验收通知5日内，可采取全面验收和抽检验收方法组织验收，并办理验收、移交手续。如采购人不能在规定时间内组织验收，需及时通知供应商，另定验收日期。如采购人在验收过程中发现存在质量问题，应在验收后5日内以书面形式向供应商提出，供应商应自收到采购人书面异议后3日内及时予以回复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(1)符合国家法律法规规定的标准、合同文本、竞争性磋商文件和竞争性磋商响应文件的要求。 （2）供应商完成全部项目内容，向采购人提交验收申请，约请采购人和有关部门进行验收。采购人自接到验收通知5日内，可采取全面验收和抽检验收方法组织验收，并办理验收、移交手续。如采购人不能在规定时间内组织验收，需及时通知供应商，另定验收日期。如采购人在验收过程中发现存在质量问题，应在验收后5日内以书面形式向供应商提出，供应商应自收到采购人书面异议后3日内及时予以回复解决。</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(1)符合国家法律法规规定的标准、合同文本、竞争性磋商文件和竞争性磋商响应文件的要求。 （2）供应商完成全部项目内容，向采购人提交验收申请，约请采购人和有关部门进行验收。采购人自接到验收通知5日内，可采取全面验收和抽检验收方法组织验收，并办理验收、移交手续。如采购人不能在规定时间内组织验收，需及时通知供应商，另定验收日期。如采购人在验收过程中发现存在质量问题，应在验收后5日内以书面形式向供应商提出，供应商应自收到采购人书面异议后3日内及时予以回复解决。</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(1)符合国家法律法规规定的标准、合同文本、竞争性磋商文件和竞争性磋商响应文件的要求。 （2）供应商完成全部项目内容，向采购人提交验收申请，约请采购人和有关部门进行验收。采购人自接到验收通知5日内，可采取全面验收和抽检验收方法组织验收，并办理验收、移交手续。如采购人不能在规定时间内组织验收，需及时通知供应商，另定验收日期。如采购人在验收过程中发现存在质量问题，应在验收后5日内以书面形式向供应商提出，供应商应自收到采购人书面异议后3日内及时予以回复解决。</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项目实施完成，且验收合格后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项目实施完成，且验收合格后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项目实施完成，且验收合格后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项目实施完成，且验收合格后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1、采购人逾期付款的，应按合同总价1%（对应标包）的比例向供应商偿付逾期付款的违约金； 2、供应商不能按时响应的，每逾期1日，供应商应向采购人赔付合同总价（对应标包）的1%作为违约金并及时采取有效补救措施。无故延期15日以上视为根本性违约，采购人有权解除本合同，供应商除应全额退还采购人已支付的价款外，还应向采购人支付合同金额10%的违约金。同时在此期间，因供应商原因给采购人造成的其他损失，供应商还应当承担相应赔偿及责任。 3、供应商提供的服务未能达到合同、磋商文件要求及响应文件承诺的，采购人有权向供应商下发整改通知单。供应商超过15天未整改或整改仍然不合格的，采购人有权解除合同，由此产生的相关责任及损失由供应商承担。 4、因供应商原因给采购人名誉造成损失或造成严重经济损失时，采购人有权解除协议，并由供应商承担赔偿责任 5.双方本着友好合作的态度,对合同履行过程中发生的纠纷应及时协商解决,协商不成，向采购人所在地人民法院诉讼解决。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1、采购人逾期付款的，应按合同总价1%（对应标包）的比例向供应商偿付逾期付款的违约金； 2、供应商不能按时响应的，每逾期1日，供应商应向采购人赔付合同总价（对应标包）的1%作为违约金并及时采取有效补救措施。无故延期15日以上视为根本性违约，采购人有权解除本合同，供应商除应全额退还采购人已支付的价款外，还应向采购人支付合同金额10%的违约金。同时在此期间，因供应商原因给采购人造成的其他损失，供应商还应当承担相应赔偿及责任。 3、供应商提供的服务未能达到合同、磋商文件要求及响应文件承诺的，采购人有权向供应商下发整改通知单。供应商超过15天未整改或整改仍然不合格的，采购人有权解除合同，由此产生的相关责任及损失由供应商承担。 4、因供应商原因给采购人名誉造成损失或造成严重经济损失时，采购人有权解除协议，并由供应商承担赔偿责任。 5.双方本着友好合作的态度,对合同履行过程中发生的纠纷应及时协商解决,协商不成，向采购人所在地人民法院诉讼解决。</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1、采购人逾期付款的，应按合同总价1%（对应标包）的比例向供应商偿付逾期付款的违约金； 2、供应商不能按时响应的，每逾期1日，供应商应向采购人赔付合同总价（对应标包）的1%作为违约金并及时采取有效补救措施。无故延期15日以上视为根本性违约，采购人有权解除本合同，供应商除应全额退还采购人已支付的价款外，还应向采购人支付合同金额10%的违约金。同时在此期间，因供应商原因给采购人造成的其他损失，供应商还应当承担相应赔偿及责任。 3、供应商提供的服务未能达到合同、磋商文件要求及响应文件承诺的，采购人有权向供应商下发整改通知单。供应商超过15天未整改或整改仍然不合格的，采购人有权解除合同，由此产生的相关责任及损失由供应商承担。 4、因供应商原因给采购人名誉造成损失或造成严重经济损失时，采购人有权解除协议，并由供应商承担赔偿责任。 5.双方本着友好合作的态度,对合同履行过程中发生的纠纷应及时协商解决,协商不成，向采购人所在地人民法院诉讼解决。</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1、采购人逾期付款的，应按合同总价1%（对应标包）的比例向供应商偿付逾期付款的违约金； 2、供应商不能按时响应的，每逾期1日，供应商应向采购人赔付合同总价（对应标包）的1%作为违约金并及时采取有效补救措施。无故延期15日以上视为根本性违约，采购人有权解除本合同，供应商除应全额退还采购人已支付的价款外，还应向采购人支付合同金额10%的违约金。同时在此期间，因供应商原因给采购人造成的其他损失，供应商还应当承担相应赔偿及责任。 3、供应商提供的服务未能达到合同、磋商文件要求及响应文件承诺的，采购人有权向供应商下发整改通知单。供应商超过15天未整改或整改仍然不合格的，采购人有权解除合同，由此产生的相关责任及损失由供应商承担。 4、因供应商原因给采购人名誉造成损失或造成严重经济损失时，采购人有权解除协议，并由供应商承担赔偿责任。 5.双方本着友好合作的态度,对合同履行过程中发生的纠纷应及时协商解决,协商不成，向采购人所在地人民法院诉讼解决。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3.4.1磋商总报价组成 采购包1、包3、包4的磋商总报价组成：磋商报价为完成本项目磋商文件中所提出的工作范围及要求的全部内容，并达到国家及采购人验收标准而产生的所有费用，包括运维服务费、管理费、食宿通讯费、设备费、工器具费、人员工资（含社保、补助和奖金）、对接费、系统升级费、检修费、培训费、交通费、招标代理服务费、保险、利润、税金、风险及完成工作准备阶段、实施阶段、验收阶段等所需的全部费用，任何错报、漏报由供应商自行负责。 采购包2的磋商总报价组成：磋商报价为完成本项目磋商文件中所提出的工作范围及要求的全部内容，并达到国家及采购人验收标准而产生的所有费用，包括但不限于服务费、人工费、测评费、备案费、对接费、维护升级费、维修费、培训费、安装调试费、招标代理服务费、利润、税金、风险、验收等完成本项目所需的全部费用，任何错报、漏报由供应商自行负责。 3.4.2采购标的对应的所属行业：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3.4.3纸质文件要求 成交供应商在领取成交通知书时须向代理机构提供纸质版磋商响应文件正本壹份，副本叁份，电子版（U盘）贰份。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负责人）授权委托书（附法定代表人（负责人）身份证复印件）及被授权委托人身份证（法定代表人（负责人）参加磋商只需提供法定代表人（负责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供应商提供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供应商提供2024年度财务审计报告或磋商前3个月内供应商基本账户银行出具的资信证明；供应商需在项目电子化交易系统中按要求上传相应证明文件并进行电子签章。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供应商具有履行合同所必需的设备和专业技术能力的声明；供应商需在项目电子化交易系统中按要求上传相应证明文件并进行电子签章。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专门面向中小企业采购</w:t>
            </w:r>
          </w:p>
        </w:tc>
        <w:tc>
          <w:tcPr>
            <w:tcW w:type="dxa" w:w="3322"/>
          </w:tcPr>
          <w:p>
            <w:pPr>
              <w:pStyle w:val="null3"/>
            </w:pPr>
            <w:r>
              <w:rPr>
                <w:rFonts w:ascii="仿宋_GB2312" w:hAnsi="仿宋_GB2312" w:cs="仿宋_GB2312" w:eastAsia="仿宋_GB2312"/>
              </w:rPr>
              <w:t>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提供磋商保证金交纳凭证；供应商需在项目电子化交易系统中按要求上传相应证明文件并进行电子签章。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负责人）授权委托书（附法定代表人（负责人）身份证复印件）及被授权委托人身份证（法定代表人（负责人）参加磋商只需提供法定代表人（负责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供应商提供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供应商提供2024年度财务审计报告或磋商前3个月内供应商基本账户银行出具的资信证明；供应商需在项目电子化交易系统中按要求上传相应证明文件并进行电子签章。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供应商具有履行合同所必需的设备和专业技术能力的声明；供应商需在项目电子化交易系统中按要求上传相应证明文件并进行电子签章。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具有公安部颁发的有效的网络安全等级测评与检测评估机构服务认证证书；供应商需在项目电子化交易系统中按要求上传相应证明文件并进行电子签章。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专门面向中小企业采购</w:t>
            </w:r>
          </w:p>
        </w:tc>
        <w:tc>
          <w:tcPr>
            <w:tcW w:type="dxa" w:w="3322"/>
          </w:tcPr>
          <w:p>
            <w:pPr>
              <w:pStyle w:val="null3"/>
            </w:pPr>
            <w:r>
              <w:rPr>
                <w:rFonts w:ascii="仿宋_GB2312" w:hAnsi="仿宋_GB2312" w:cs="仿宋_GB2312" w:eastAsia="仿宋_GB2312"/>
              </w:rPr>
              <w:t>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提供磋商保证金交纳凭证；供应商需在项目电子化交易系统中按要求上传相应证明文件并进行电子签章。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负责人）授权委托书（附法定代表人（负责人）身份证复印件）及被授权委托人身份证（法定代表人（负责人）参加磋商只需提供法定代表人（负责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供应商提供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供应商提供2024年度财务审计报告或磋商前3个月内供应商基本账户银行出具的资信证明；供应商需在项目电子化交易系统中按要求上传相应证明文件并进行电子签章。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供应商具有履行合同所必需的设备和专业技术能力的声明；供应商需在项目电子化交易系统中按要求上传相应证明文件并进行电子签章。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提供磋商保证金交纳凭证；供应商需在项目电子化交易系统中按要求上传相应证明文件并进行电子签章。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负责人）授权委托书（附法定代表人（负责人）身份证复印件）及被授权委托人身份证（法定代表人（负责人）参加磋商只需提供法定代表人（负责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供应商提供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供应商提供2024年度财务审计报告或磋商前3个月内供应商基本账户银行出具的资信证明；供应商需在项目电子化交易系统中按要求上传相应证明文件并进行电子签章。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供应商具有履行合同所必需的设备和专业技术能力的声明；供应商需在项目电子化交易系统中按要求上传相应证明文件并进行电子签章。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专门面向中小企业采购</w:t>
            </w:r>
          </w:p>
        </w:tc>
        <w:tc>
          <w:tcPr>
            <w:tcW w:type="dxa" w:w="3322"/>
          </w:tcPr>
          <w:p>
            <w:pPr>
              <w:pStyle w:val="null3"/>
            </w:pPr>
            <w:r>
              <w:rPr>
                <w:rFonts w:ascii="仿宋_GB2312" w:hAnsi="仿宋_GB2312" w:cs="仿宋_GB2312" w:eastAsia="仿宋_GB2312"/>
              </w:rPr>
              <w:t>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提供磋商保证金交纳凭证；供应商需在项目电子化交易系统中按要求上传相应证明文件并进行电子签章。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报价一览表 服务内容及服务邀请应答表 中小企业声明函 商务应答表 承诺书 报价表 磋商保证金退还信息表 业绩证明文件及响应方案说明 响应文件封面 资格证明文件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磋商响应有效期达到磋商文件的要求；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w:t>
            </w:r>
          </w:p>
        </w:tc>
        <w:tc>
          <w:tcPr>
            <w:tcW w:type="dxa" w:w="1661"/>
          </w:tcPr>
          <w:p>
            <w:pPr>
              <w:pStyle w:val="null3"/>
            </w:pPr>
            <w:r>
              <w:rPr>
                <w:rFonts w:ascii="仿宋_GB2312" w:hAnsi="仿宋_GB2312" w:cs="仿宋_GB2312" w:eastAsia="仿宋_GB2312"/>
              </w:rPr>
              <w:t>报价一览表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符合商务、技术要求，标记“★”参数为实质性参数，供应商必须响应并满足，不得存在负偏离;</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报价一览表 服务内容及服务邀请应答表 中小企业声明函 商务应答表 承诺书 报价表 磋商保证金退还信息表 业绩证明文件及响应方案说明 响应文件封面 资格证明文件 残疾人福利性单位声明函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报价一览表 服务内容及服务邀请应答表 中小企业声明函 商务应答表 承诺书 报价表 磋商保证金退还信息表 业绩证明文件及响应方案说明 响应文件封面 资格证明文件 残疾人福利性单位声明函 标的清单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报价一览表 服务内容及服务邀请应答表 中小企业声明函 商务应答表 承诺书 报价表 磋商保证金退还信息表 业绩证明文件及响应方案说明 响应文件封面 资格证明文件 残疾人福利性单位声明函 标的清单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报价一览表 服务内容及服务邀请应答表 中小企业声明函 商务应答表 承诺书 报价表 磋商保证金退还信息表 业绩证明文件及响应方案说明 响应文件封面 资格证明文件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磋商响应有效期达到磋商文件的要求；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w:t>
            </w:r>
          </w:p>
        </w:tc>
        <w:tc>
          <w:tcPr>
            <w:tcW w:type="dxa" w:w="1661"/>
          </w:tcPr>
          <w:p>
            <w:pPr>
              <w:pStyle w:val="null3"/>
            </w:pPr>
            <w:r>
              <w:rPr>
                <w:rFonts w:ascii="仿宋_GB2312" w:hAnsi="仿宋_GB2312" w:cs="仿宋_GB2312" w:eastAsia="仿宋_GB2312"/>
              </w:rPr>
              <w:t>报价一览表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报价一览表 服务内容及服务邀请应答表 中小企业声明函 商务应答表 承诺书 报价表 磋商保证金退还信息表 业绩证明文件及响应方案说明 响应文件封面 资格证明文件 残疾人福利性单位声明函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报价一览表 服务内容及服务邀请应答表 中小企业声明函 商务应答表 承诺书 报价表 磋商保证金退还信息表 业绩证明文件及响应方案说明 响应文件封面 资格证明文件 残疾人福利性单位声明函 标的清单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报价一览表 服务内容及服务邀请应答表 中小企业声明函 商务应答表 承诺书 报价表 磋商保证金退还信息表 业绩证明文件及响应方案说明 响应文件封面 资格证明文件 残疾人福利性单位声明函 标的清单 响应函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报价一览表 服务内容及服务邀请应答表 中小企业声明函 商务应答表 承诺书 报价表 磋商保证金退还信息表 业绩证明文件及响应方案说明 响应文件封面 资格证明文件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磋商响应有效期达到磋商文件的要求；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w:t>
            </w:r>
          </w:p>
        </w:tc>
        <w:tc>
          <w:tcPr>
            <w:tcW w:type="dxa" w:w="1661"/>
          </w:tcPr>
          <w:p>
            <w:pPr>
              <w:pStyle w:val="null3"/>
            </w:pPr>
            <w:r>
              <w:rPr>
                <w:rFonts w:ascii="仿宋_GB2312" w:hAnsi="仿宋_GB2312" w:cs="仿宋_GB2312" w:eastAsia="仿宋_GB2312"/>
              </w:rPr>
              <w:t>报价一览表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符合商务、技术要求，标记“★”参数为实质性参数，供应商必须响应并满足，不得存在负偏离;</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报价一览表 服务内容及服务邀请应答表 中小企业声明函 商务应答表 承诺书 报价表 磋商保证金退还信息表 业绩证明文件及响应方案说明 响应文件封面 资格证明文件 残疾人福利性单位声明函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报价一览表 服务内容及服务邀请应答表 中小企业声明函 商务应答表 承诺书 报价表 磋商保证金退还信息表 业绩证明文件及响应方案说明 响应文件封面 资格证明文件 残疾人福利性单位声明函 标的清单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报价一览表 服务内容及服务邀请应答表 中小企业声明函 商务应答表 承诺书 报价表 磋商保证金退还信息表 业绩证明文件及响应方案说明 响应文件封面 资格证明文件 残疾人福利性单位声明函 标的清单 响应函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报价一览表 服务内容及服务邀请应答表 中小企业声明函 商务应答表 承诺书 报价表 磋商保证金退还信息表 业绩证明文件及响应方案说明 响应文件封面 资格证明文件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磋商响应有效期达到磋商文件的要求；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w:t>
            </w:r>
          </w:p>
        </w:tc>
        <w:tc>
          <w:tcPr>
            <w:tcW w:type="dxa" w:w="1661"/>
          </w:tcPr>
          <w:p>
            <w:pPr>
              <w:pStyle w:val="null3"/>
            </w:pPr>
            <w:r>
              <w:rPr>
                <w:rFonts w:ascii="仿宋_GB2312" w:hAnsi="仿宋_GB2312" w:cs="仿宋_GB2312" w:eastAsia="仿宋_GB2312"/>
              </w:rPr>
              <w:t>报价一览表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报价一览表 服务内容及服务邀请应答表 中小企业声明函 商务应答表 承诺书 报价表 磋商保证金退还信息表 业绩证明文件及响应方案说明 响应文件封面 资格证明文件 残疾人福利性单位声明函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报价一览表 服务内容及服务邀请应答表 中小企业声明函 商务应答表 承诺书 报价表 磋商保证金退还信息表 业绩证明文件及响应方案说明 响应文件封面 资格证明文件 残疾人福利性单位声明函 标的清单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报价一览表 服务内容及服务邀请应答表 中小企业声明函 商务应答表 承诺书 报价表 磋商保证金退还信息表 业绩证明文件及响应方案说明 响应文件封面 资格证明文件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投标产品选型符合使用需求，配置完整合理，其型号、技术参数清晰明确，根据投标产品的技术指标和性能对招标文件的响应程度计分。产品整体功能或技术参数完全满足磋商文件要求计25分，部分项负偏离按以下说明扣分。 其响应技术指标和性能出现非主要技术参数负偏离的（非★号条款），每项扣除2分，扣完为止, 明确要求提供相应资质证明、截图等技术指标的，未提供的按负偏离处理。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提供项目实施方案，方案内容包含但不限于部件更换、设备维保维修、系统升级、对接、项目进度、质量、培训、保密及安全保障等。本项满分8分。 实施方案各项内容全面详细、阐述条理清晰详尽、符合本项目采购需求，能有效保障项目实施计8分。实施方案基本完整，虽有内容但不完善、不合理，细节考虑不够全面计6分。方案内容不完整，不易操作，未考虑到细节计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拟投入项目团队配置情况，包括组织架构、人员配置、岗位职责、管理制度、经验、专业程度等，本项满分6分。 内容完整，科学合理，团队经验丰富、专业程度高计6分； 内容基本完整，较为科学合理，团队经验较为丰富、专业程度较高计4分； 内容不完整，缺乏科学合理性，团队经验较少、专业程度较低计2分；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应急措施及合理化建议</w:t>
            </w:r>
          </w:p>
        </w:tc>
        <w:tc>
          <w:tcPr>
            <w:tcW w:type="dxa" w:w="2492"/>
          </w:tcPr>
          <w:p>
            <w:pPr>
              <w:pStyle w:val="null3"/>
            </w:pPr>
            <w:r>
              <w:rPr>
                <w:rFonts w:ascii="仿宋_GB2312" w:hAnsi="仿宋_GB2312" w:cs="仿宋_GB2312" w:eastAsia="仿宋_GB2312"/>
              </w:rPr>
              <w:t>有针对本项目突发情况的应急措施及其他针对本项目的合理化建议，根据建议描述完整、可操作性、细节描述情况计分。本项满分5分。 措施及合理化建议内容详细完善，可操作性强计5；措施及合理化建议内容简单，不易操作的计2分。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具有完善的售后服务方案，对服务期限内质量、人员到位情况、日常维护以及后期服务的响应时间（方案还应当包含不能完全履行服务要求时愿意接受相关处罚的承诺），售后方案合理、及时有效与实际需求相符合。本项满分6分。 售后方案完善，可操作性强计6分；售后方案比较完善，有相对的可操作性计4分；售后方案内容缺失，不易操作计2分。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企业履约能力</w:t>
            </w:r>
          </w:p>
        </w:tc>
        <w:tc>
          <w:tcPr>
            <w:tcW w:type="dxa" w:w="2492"/>
          </w:tcPr>
          <w:p>
            <w:pPr>
              <w:pStyle w:val="null3"/>
            </w:pPr>
            <w:r>
              <w:rPr>
                <w:rFonts w:ascii="仿宋_GB2312" w:hAnsi="仿宋_GB2312" w:cs="仿宋_GB2312" w:eastAsia="仿宋_GB2312"/>
              </w:rPr>
              <w:t>（1）供应商具备ITSS三级及以上认证，提供加盖公章的证书文件得2分； （2）供应商为本项目配备的项目经理须同时具备安全工程师CISP-PTE及CISP-DSG技术认证。提供人员技术证书、对应工程师的身份证及持证人员近3个月内的社保证明文件，满足要求得4分，不提供或者提供不全者不得分。 （3）为保证项目团队技术服务能力，供应商为本项目配备的团队人中至少两人需具备CISP类证书，如CSIP-DSG，CISP-PTE，CISP等技术证书。提供人员证书、对应身份证及持证人员近3个月内的社保证明文件，满足要求得4分，不提供或者提供不全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提供2022年以来类似项目业绩合同（以合同签订时间为准），每份业绩计2分，满分10分。（注：以上证明文件在响应文件中附业绩合同扫描件并加盖公司公章。）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 即满足磋商文件要求且最后报价最低的供应商的价格为磋商基准价，其价格分为满分。其他供应商的价格分统一按照下列公式计算：磋商报价得分=（磋商基准价/最后磋商报价）×价格权值（30%）×100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等保测评服务、渗透测试服务、建设整改咨询及安全加固（不涉及硬件）服务制定详细、完善的服务方案(方案各项内容全面详细、阐述条理清晰详尽、符合本项目采购需求，能有效保障项目实施计10分；方案基本完整，虽有内容但不完善、不合理，细节考虑不够全面计7分；符合磋商文件要求，内容一般计3分。)本项满分10分，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针对项目质量有先进、可行、有效的控制措施和管理办法，本项满分6分。 措施和办法描述完整、详尽，符合本项目采购要求，能有效保障项目质量计6分。措施和办法描述基本完整，有相对的可操作性，细节基本全面计4分。措施和办法描述不完整，细节考虑不够全面计2分。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针对服务过程中的安全保障措施，本项满分6分。 措施安全描述完整、详尽，符合本项目采购要求，能有效保障项目实施计6分。措施安全描述基本完整，有相对的可操作性，细节基本全面计4分。措施效果不佳，制度缺失，未考虑到细节计2分。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项目负责人具有高级测评师证书得3分，具有中级测评师证书得2分。本项满分3分。 服务团队人员中除项目负责人以外，具有高级测评师证书的每人得3分，具有中级测评师证书的每人得2分，具备初级测评师证书的每人得1分，最多加10分。 注：提供评分点对应人员的证书扫描件、该人员在本单位缴纳社保证明，以上材料均需加盖公章。</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保密措施及承诺</w:t>
            </w:r>
          </w:p>
        </w:tc>
        <w:tc>
          <w:tcPr>
            <w:tcW w:type="dxa" w:w="2492"/>
          </w:tcPr>
          <w:p>
            <w:pPr>
              <w:pStyle w:val="null3"/>
            </w:pPr>
            <w:r>
              <w:rPr>
                <w:rFonts w:ascii="仿宋_GB2312" w:hAnsi="仿宋_GB2312" w:cs="仿宋_GB2312" w:eastAsia="仿宋_GB2312"/>
              </w:rPr>
              <w:t>提供数据信息保密措施及承诺，根据响应程度计分，本项满分5分。措施和承诺描述完整、详尽，符合本项目采购要求，切实可行计5分，措施内容简单、可行性一般计2分。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培训方案及培训计划</w:t>
            </w:r>
          </w:p>
        </w:tc>
        <w:tc>
          <w:tcPr>
            <w:tcW w:type="dxa" w:w="2492"/>
          </w:tcPr>
          <w:p>
            <w:pPr>
              <w:pStyle w:val="null3"/>
            </w:pPr>
            <w:r>
              <w:rPr>
                <w:rFonts w:ascii="仿宋_GB2312" w:hAnsi="仿宋_GB2312" w:cs="仿宋_GB2312" w:eastAsia="仿宋_GB2312"/>
              </w:rPr>
              <w:t>提供详尽的培训方案及培训计划，并列出培训的具体内容及方式，保证采购人能熟练使用和操作维护，培训计划完善，培训资料齐全，功能讲解详细，实践操作全面计4分；培训计划及培训资料简单，功能讲解不详细，实践操作缺乏计2分；本项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项目实施进度安排</w:t>
            </w:r>
          </w:p>
        </w:tc>
        <w:tc>
          <w:tcPr>
            <w:tcW w:type="dxa" w:w="2492"/>
          </w:tcPr>
          <w:p>
            <w:pPr>
              <w:pStyle w:val="null3"/>
            </w:pPr>
            <w:r>
              <w:rPr>
                <w:rFonts w:ascii="仿宋_GB2312" w:hAnsi="仿宋_GB2312" w:cs="仿宋_GB2312" w:eastAsia="仿宋_GB2312"/>
              </w:rPr>
              <w:t>按照工作内容列明项目进度安排计划，有针对进度的保证措施及偏离补救措施。本项满分5分。 进度计划安排合理，可操作性强，细节考虑到位，能保障本项目按时交付计5分；进度计划安排较为合理，有相对的可操作性强，细节基本全面计2分；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应急措施及合理化建议</w:t>
            </w:r>
          </w:p>
        </w:tc>
        <w:tc>
          <w:tcPr>
            <w:tcW w:type="dxa" w:w="2492"/>
          </w:tcPr>
          <w:p>
            <w:pPr>
              <w:pStyle w:val="null3"/>
            </w:pPr>
            <w:r>
              <w:rPr>
                <w:rFonts w:ascii="仿宋_GB2312" w:hAnsi="仿宋_GB2312" w:cs="仿宋_GB2312" w:eastAsia="仿宋_GB2312"/>
              </w:rPr>
              <w:t>有针对本项目突发情况的应急措施及其他针对本项目的合理化建议，根据建议描述完整、可操作性、细节描述情况计分。本项满分4分。 措施及合理化建议内容详细完善，可操作性强计4；措施及合理化建议内容简单，不易操作的计2分。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具有完善的服务保障体系，对服务期限内质量、人员到位情况、日常维护以及后期服务的响应时间（方案还应当包含不能完全履行服务要求时愿意接受相关处罚的承诺），服务方案合理、及时有效与实际需求相符合。本项满分7分。 服务承诺各项内容全面详细、阐述条理清晰详尽、符合本项目采购需求，能有效保障项目实施计7分；服务承诺比较完善，虽有内容但不完善、不合理，细节考虑不够全面计5分；服务承诺内容缺失，不易操作计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提供2022年以来类似项目业绩合同（以合同签订时间为准），每份业绩计2分，满分10分。（注：以上证明文件在响应文件中附业绩合同扫描件并加盖公司公章。）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 即满足磋商文件要求且最后报价最低的供应商的价格为磋商基准价，其价格分为满分。其他供应商的价格分统一按照下列公式计算：磋商报价得分=（磋商基准价/最后磋商报价）×价格权值（30%）×100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投标产品选型符合使用需求，配置完整合理，其型号、技术参数清晰明确，根据投标产品的技术指标和性能对磋商文件的响应程度计分。产品整体功能或技术参数完全满足磋商文件要求计25分，部分项负偏离按以下说明扣分。 其响应技术指标和性能出现非主要技术参数负偏离的（非★号条款），每项扣除2分，扣完为止, 明确要求提供相应资质证明、截图等技术指标的，未提供的按负偏离处理。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提供项目实施方案，方案内容包含但不限于部件更换、设备维保维修、系统升级、对接、项目进度、质量、培训、保密及安全保障等。本项满分16分。 实施方案各项内容全面详细、阐述条理清晰详尽、符合本项目采购需求，能有效保障项目实施计16分。实施方案基本完整，虽有内容但不完善、不合理，细节考虑不够全面计10分。方案内容不完整，不易操作，未考虑到细节计5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拟投入项目团队配置情况，包括组织架构、人员配置、岗位职责、管理制度、人员证书、经验、专业程度等，本项满分8分。 内容完整，科学合理，团队经验丰富、专业程度高计8分； 内容基本完整，团队成员经验或资质略有不足，人员搭配符合项目要求计5分； 内容不完整，缺乏科学合理性，团队经验较少、专业程度较低计2分；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应急措施及合理化建议</w:t>
            </w:r>
          </w:p>
        </w:tc>
        <w:tc>
          <w:tcPr>
            <w:tcW w:type="dxa" w:w="2492"/>
          </w:tcPr>
          <w:p>
            <w:pPr>
              <w:pStyle w:val="null3"/>
            </w:pPr>
            <w:r>
              <w:rPr>
                <w:rFonts w:ascii="仿宋_GB2312" w:hAnsi="仿宋_GB2312" w:cs="仿宋_GB2312" w:eastAsia="仿宋_GB2312"/>
              </w:rPr>
              <w:t>有针对本项目突发情况的应急措施及其他针对本项目的合理化建议，根据建议描述完整、可操作性、细节描述情况计分。本项满分5分。 措施及合理化建议内容详细完善，可操作性强计5；措施及合理化建议内容简单，不易操作的计2分。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具有完善的售后服务方案，对服务期限内质量、人员到位情况、日常维护以及后期服务的响应时间（方案还应当包含不能完全履行服务要求时愿意接受相关处罚的承诺），售后方案合理、及时有效与实际需求相符合。本项满分6分。 售后方案完善，可操作性强计6分；售后方案基本完整，虽有内容但不完善，细节考虑不够全面计4分；售后方案内容缺失，不易操作计2分。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提供2022年以来类似项目业绩合同（以合同签订时间为准），每份业绩计2分，满分10分。（注：以上证明文件在响应文件中附业绩合同扫描件并加盖公司公章。）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 即满足磋商文件要求且最后报价最低的供应商的价格为磋商基准价，其价格分为满分。其他供应商的价格分统一按照下列公式计算：磋商报价得分=（磋商基准价/最后磋商报价）×价格权值（30%）×100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1.对于经主管预算单位统筹后未预留份额专门面向中小企业采购的采购项目，以及预留份额项目中的非预留部分采购包，对符合《政府采购促进中小企业发展管理办法》（财库〔2020〕46号）、《关于进一步加大政府采购支持中小企业力度的通知》（财库〔2022〕19号）规定的小微企业报价给予15%的扣除，用扣除后的价格参加评审。承接本项目的供应商符合相应条件时，给予15%的价格扣除，即：评标价=最后磋商报价×（1-15%）;监狱企业与残疾人福利性单位视同小型、微型企业，享受同等价格扣除，当企业属性重复时，不重复价格扣除。 2.采购标的对应的所属行业：软件和信息技术服务业。根据《工业和信息化部、国家统计局、国家发展和改革委员会、财政部关于印发中小企业划型标准规定的通知》（工信部联企业〔2011〕300号）规定的划分标准，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报价一览表</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提供项目实施方案，方案内容包含但不限于部件更换、设备维保维修、系统升级、对接等。本项满分6分。 实施方案完整，可操作性强，细节考虑到位的计6分。实施方案基本完整，有相对的可操作性，细节基本全面计4分。方案内容不完整，不易操作，未考虑到细节计2分。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服务质量</w:t>
            </w:r>
          </w:p>
        </w:tc>
        <w:tc>
          <w:tcPr>
            <w:tcW w:type="dxa" w:w="2492"/>
          </w:tcPr>
          <w:p>
            <w:pPr>
              <w:pStyle w:val="null3"/>
            </w:pPr>
            <w:r>
              <w:rPr>
                <w:rFonts w:ascii="仿宋_GB2312" w:hAnsi="仿宋_GB2312" w:cs="仿宋_GB2312" w:eastAsia="仿宋_GB2312"/>
              </w:rPr>
              <w:t>针对项目质量有先进、可行、有效的控制措施和管理办法，本项满分7分。 措施和办法描述完整、详尽，符合本项目采购要求，能有效保障项目质量计7分。措施和办法描述基本完整，有相对的可操作性，细节基本全面计4分。措施和办法描述不完整，细节考虑不够全面计2分。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针对服务过程中的安全保障措施，本项满分5分。 措施安全描述完整、详尽，符合本项目采购要求，能有效保障项目实施计5分。措施安全描述内容简单或缺失，可操作性效果不佳，未考虑到细节计2分。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拟投入项目团队配置情况，包括组织架构、人员配置、岗位职责、管理制度、经验、专业程度等，本项满分6分。 内容完整，科学合理，团队经验丰富、专业程度高计6分； 内容基本完整，较为科学合理，团队经验较为丰富、专业程度较高计4分； 内容不完整，缺乏科学合理性，团队经验较少、专业程度较低计2分；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企业及项目履约能力证明</w:t>
            </w:r>
          </w:p>
        </w:tc>
        <w:tc>
          <w:tcPr>
            <w:tcW w:type="dxa" w:w="2492"/>
          </w:tcPr>
          <w:p>
            <w:pPr>
              <w:pStyle w:val="null3"/>
            </w:pPr>
            <w:r>
              <w:rPr>
                <w:rFonts w:ascii="仿宋_GB2312" w:hAnsi="仿宋_GB2312" w:cs="仿宋_GB2312" w:eastAsia="仿宋_GB2312"/>
              </w:rPr>
              <w:t>1.供应商为本项目配备的项目经理须具备信息系统项目管理师高级证书。提供人员技术证书、对应工程师的身份证及持证人员的社保证明文件，满足要求得6分，不提供或者提供不全者不得分。 2.提供智慧运营中心数字孪生系统和运维监控中心系统授权，每个授权计5分，共计10分。未提供不得分。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保密措施及承诺</w:t>
            </w:r>
          </w:p>
        </w:tc>
        <w:tc>
          <w:tcPr>
            <w:tcW w:type="dxa" w:w="2492"/>
          </w:tcPr>
          <w:p>
            <w:pPr>
              <w:pStyle w:val="null3"/>
            </w:pPr>
            <w:r>
              <w:rPr>
                <w:rFonts w:ascii="仿宋_GB2312" w:hAnsi="仿宋_GB2312" w:cs="仿宋_GB2312" w:eastAsia="仿宋_GB2312"/>
              </w:rPr>
              <w:t>提供数据信息保密措施及承诺，根据响应程度计分，本项满分5分。措施和承诺描述完整、详尽，符合本项目采购要求，切实可行计5分，措施内容简单、可行性一般计2分。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培训方案及培训计划</w:t>
            </w:r>
          </w:p>
        </w:tc>
        <w:tc>
          <w:tcPr>
            <w:tcW w:type="dxa" w:w="2492"/>
          </w:tcPr>
          <w:p>
            <w:pPr>
              <w:pStyle w:val="null3"/>
            </w:pPr>
            <w:r>
              <w:rPr>
                <w:rFonts w:ascii="仿宋_GB2312" w:hAnsi="仿宋_GB2312" w:cs="仿宋_GB2312" w:eastAsia="仿宋_GB2312"/>
              </w:rPr>
              <w:t>提供详尽的培训方案及培训计划，并列出培训的具体内容及方式，保证采购人能熟练使用和操作维护，培训计划完善，培训资料齐全，功能讲解详细，实践操作全面计3分；培训计划及培训资料简单，功能讲解不详细，实践操作缺乏计2分；本项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项目实施进度安排</w:t>
            </w:r>
          </w:p>
        </w:tc>
        <w:tc>
          <w:tcPr>
            <w:tcW w:type="dxa" w:w="2492"/>
          </w:tcPr>
          <w:p>
            <w:pPr>
              <w:pStyle w:val="null3"/>
            </w:pPr>
            <w:r>
              <w:rPr>
                <w:rFonts w:ascii="仿宋_GB2312" w:hAnsi="仿宋_GB2312" w:cs="仿宋_GB2312" w:eastAsia="仿宋_GB2312"/>
              </w:rPr>
              <w:t>按照工作内容列明项目进度安排计划，有针对进度的保证措施及偏离补救措施。本项满分3分。 进度计划安排合理，可操作性强，细节考虑到位，能保障本项目按时交付计3分；进度计划安排较为合理，有相对的可操作性强，细节基本全面计2分；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应急措施及合理化建议</w:t>
            </w:r>
          </w:p>
        </w:tc>
        <w:tc>
          <w:tcPr>
            <w:tcW w:type="dxa" w:w="2492"/>
          </w:tcPr>
          <w:p>
            <w:pPr>
              <w:pStyle w:val="null3"/>
            </w:pPr>
            <w:r>
              <w:rPr>
                <w:rFonts w:ascii="仿宋_GB2312" w:hAnsi="仿宋_GB2312" w:cs="仿宋_GB2312" w:eastAsia="仿宋_GB2312"/>
              </w:rPr>
              <w:t>有针对本项目突发情况的应急措施及其他针对本项目的合理化建议，根据建议描述完整、可操作性、细节描述情况计分。本项满分5分。 措施及合理化建议内容详细完善，可操作性强计5；措施及合理化建议内容简单，不易操作的计2分。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具有完善的服务保障体系，对服务期限内质量、人员到位情况、日常维护以及后期服务的响应时间（方案还应当包含不能完全履行服务要求时愿意接受相关处罚的承诺），服务方案合理、及时有效与实际需求相符合。本项满分4分。 服务承诺完善，可操作性强计4分；服务承诺比较完善，有相对的可操作性计2分；服务承诺内容缺失，不易操作计1分。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提供2022年以来类似项目业绩合同（以合同签订时间为准），每份业绩计2分，满分10分。（注：以上证明文件在响应文件中附业绩合同扫描件并加盖公司公章。）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 即满足磋商文件要求且最后报价最低的供应商的价格为磋商基准价，其价格分为满分。其他供应商的价格分统一按照下列公式计算：磋商报价得分=（磋商基准价/最后磋商报价）×价格权值（30%）×100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详见附件：业绩证明文件及响应方案说明</w:t>
      </w:r>
    </w:p>
    <w:p>
      <w:pPr>
        <w:pStyle w:val="null3"/>
        <w:ind w:firstLine="960"/>
      </w:pPr>
      <w:r>
        <w:rPr>
          <w:rFonts w:ascii="仿宋_GB2312" w:hAnsi="仿宋_GB2312" w:cs="仿宋_GB2312" w:eastAsia="仿宋_GB2312"/>
        </w:rPr>
        <w:t>详见附件：磋商保证金退还信息表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详见附件：业绩证明文件及响应方案说明</w:t>
      </w:r>
    </w:p>
    <w:p>
      <w:pPr>
        <w:pStyle w:val="null3"/>
        <w:ind w:firstLine="960"/>
      </w:pPr>
      <w:r>
        <w:rPr>
          <w:rFonts w:ascii="仿宋_GB2312" w:hAnsi="仿宋_GB2312" w:cs="仿宋_GB2312" w:eastAsia="仿宋_GB2312"/>
        </w:rPr>
        <w:t>详见附件：磋商保证金退还信息表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详见附件：业绩证明文件及响应方案说明</w:t>
      </w:r>
    </w:p>
    <w:p>
      <w:pPr>
        <w:pStyle w:val="null3"/>
        <w:ind w:firstLine="960"/>
      </w:pPr>
      <w:r>
        <w:rPr>
          <w:rFonts w:ascii="仿宋_GB2312" w:hAnsi="仿宋_GB2312" w:cs="仿宋_GB2312" w:eastAsia="仿宋_GB2312"/>
        </w:rPr>
        <w:t>详见附件：磋商保证金退还信息表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详见附件：业绩证明文件及响应方案说明</w:t>
      </w:r>
    </w:p>
    <w:p>
      <w:pPr>
        <w:pStyle w:val="null3"/>
        <w:ind w:firstLine="960"/>
      </w:pPr>
      <w:r>
        <w:rPr>
          <w:rFonts w:ascii="仿宋_GB2312" w:hAnsi="仿宋_GB2312" w:cs="仿宋_GB2312" w:eastAsia="仿宋_GB2312"/>
        </w:rPr>
        <w:t>详见附件：磋商保证金退还信息表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