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版本号：ZCBN-渭南市-2025-02030-FHGJ25(ZBQ)300-28220251128001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2025年森林草原湿地荒漠化调查监测市级审核汇总服务项目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ZCBN-渭南市-2025-02030-FHGJ25(ZBQ)300-282</w:t>
      </w:r>
      <w:r>
        <w:br/>
      </w:r>
      <w:r>
        <w:br/>
      </w:r>
      <w:r>
        <w:br/>
      </w:r>
    </w:p>
    <w:p>
      <w:pPr>
        <w:pStyle w:val="null3"/>
        <w:jc w:val="center"/>
        <w:outlineLvl w:val="2"/>
      </w:pPr>
      <w:r>
        <w:rPr>
          <w:rFonts w:ascii="仿宋_GB2312" w:hAnsi="仿宋_GB2312" w:cs="仿宋_GB2312" w:eastAsia="仿宋_GB2312"/>
          <w:sz w:val="28"/>
          <w:b/>
        </w:rPr>
        <w:t>渭南市林业局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渭南市林业局</w:t>
      </w:r>
      <w:r>
        <w:rPr>
          <w:rFonts w:ascii="仿宋_GB2312" w:hAnsi="仿宋_GB2312" w:cs="仿宋_GB2312" w:eastAsia="仿宋_GB2312"/>
        </w:rPr>
        <w:t>委托，拟对</w:t>
      </w:r>
      <w:r>
        <w:rPr>
          <w:rFonts w:ascii="仿宋_GB2312" w:hAnsi="仿宋_GB2312" w:cs="仿宋_GB2312" w:eastAsia="仿宋_GB2312"/>
        </w:rPr>
        <w:t>2025年森林草原湿地荒漠化调查监测市级审核汇总服务项目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ZCBN-渭南市-2025-02030-FHGJ25(ZBQ)300-282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2025年森林草原湿地荒漠化调查监测市级审核汇总服务项目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根据《渭南市自然资源和规划局 渭南市林业局关于做好2025年度国土变更调查及森林草原湿地荒漠调查监测工作的通知》文件要求，开展2025年森林草原湿地荒漠化调查监测市级审核汇总服务项目工作，市级审核汇总主要包括：对各县（市、区）成果进行内外业审核和市级汇总两方面工作。内外业审核是结合内业调查信息提取结果，对照遥感影像、举证照片，对地方上报的林草湿荒监测成果进行质量核查，核实地类变化地类边界范围、地类、属性及单独图层的正确性，同时核实变化地块植被覆盖类型等资源属性调查成果的正确性，核实县级修正的“国土绿化空间”“林业管理边界”标注成果的正确性，同时根据内业核查结果和实际情况进行外业抽查。利用全国统一的数据库质量检查软件，对各县级提交的年底集中调查（更新）成果进行数据质量检查。成果汇总是根据各县（市、区）最终年度监测成果，整理形成市级年度监测汇总成果，包括数据库、文字报告、汇总表格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采购包1（2025年森林草原湿地荒漠化调查监测市级审核汇总服务项目）：属于专门面向中小企业采购。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1、供应商基本情况：供应商须具备独立承担民事责任能力的法人或其他组织，并出具合法有效的营业执照（含2024年年度报告）</w:t>
      </w:r>
    </w:p>
    <w:p>
      <w:pPr>
        <w:pStyle w:val="null3"/>
      </w:pPr>
      <w:r>
        <w:rPr>
          <w:rFonts w:ascii="仿宋_GB2312" w:hAnsi="仿宋_GB2312" w:cs="仿宋_GB2312" w:eastAsia="仿宋_GB2312"/>
        </w:rPr>
        <w:t>2、供应商资质：供应商须具备林业调查规划设计或测绘乙级及以上资质</w:t>
      </w:r>
    </w:p>
    <w:p>
      <w:pPr>
        <w:pStyle w:val="null3"/>
      </w:pPr>
      <w:r>
        <w:rPr>
          <w:rFonts w:ascii="仿宋_GB2312" w:hAnsi="仿宋_GB2312" w:cs="仿宋_GB2312" w:eastAsia="仿宋_GB2312"/>
        </w:rPr>
        <w:t>3、项目负责人：项目负责人须具备林业相关或测绘专业中级及以上职称</w:t>
      </w:r>
    </w:p>
    <w:p>
      <w:pPr>
        <w:pStyle w:val="null3"/>
      </w:pPr>
      <w:r>
        <w:rPr>
          <w:rFonts w:ascii="仿宋_GB2312" w:hAnsi="仿宋_GB2312" w:cs="仿宋_GB2312" w:eastAsia="仿宋_GB2312"/>
        </w:rPr>
        <w:t>4、法人证明或法人授权委托书：法定代表人参加的，须提供加盖公章的法定代表人身份证明书原件及法人身份证复印件，并出示身份证原件；法定代表人授权他人参加的，须提供加盖公章的法定代表人身份证明书原件及法定代表人委托授权书原件，并出示被授权代表身份证原件及加盖公章的身份证复印件和近三个月的社保缴纳证明</w:t>
      </w:r>
    </w:p>
    <w:p>
      <w:pPr>
        <w:pStyle w:val="null3"/>
      </w:pPr>
      <w:r>
        <w:rPr>
          <w:rFonts w:ascii="仿宋_GB2312" w:hAnsi="仿宋_GB2312" w:cs="仿宋_GB2312" w:eastAsia="仿宋_GB2312"/>
        </w:rPr>
        <w:t>5、财务状况：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p>
      <w:pPr>
        <w:pStyle w:val="null3"/>
      </w:pPr>
      <w:r>
        <w:rPr>
          <w:rFonts w:ascii="仿宋_GB2312" w:hAnsi="仿宋_GB2312" w:cs="仿宋_GB2312" w:eastAsia="仿宋_GB2312"/>
        </w:rPr>
        <w:t>6、税收缴纳证明：2025年1月至今已缴纳的至少三个月纳税证明或完税证明。依法免税的单位应提供相关证明材料</w:t>
      </w:r>
    </w:p>
    <w:p>
      <w:pPr>
        <w:pStyle w:val="null3"/>
      </w:pPr>
      <w:r>
        <w:rPr>
          <w:rFonts w:ascii="仿宋_GB2312" w:hAnsi="仿宋_GB2312" w:cs="仿宋_GB2312" w:eastAsia="仿宋_GB2312"/>
        </w:rPr>
        <w:t>7、社会保障资金缴纳证明：2025年1月至今已缴纳的至少三个月的社会保障资金缴存单据或社保机构开具的社会保险参保缴费情况证明，单据或证明上应有社保机构或代收机构的公章。依法不需要缴纳社会保障资金的供应商应提供相关文件证明资料</w:t>
      </w:r>
    </w:p>
    <w:p>
      <w:pPr>
        <w:pStyle w:val="null3"/>
      </w:pPr>
      <w:r>
        <w:rPr>
          <w:rFonts w:ascii="仿宋_GB2312" w:hAnsi="仿宋_GB2312" w:cs="仿宋_GB2312" w:eastAsia="仿宋_GB2312"/>
        </w:rPr>
        <w:t>8、没有重大违法记录的书面说明：供应商应出具参加政府采购活动前3年内在经营活动中没有重大违法记录的书面声明</w:t>
      </w:r>
    </w:p>
    <w:p>
      <w:pPr>
        <w:pStyle w:val="null3"/>
      </w:pPr>
      <w:r>
        <w:rPr>
          <w:rFonts w:ascii="仿宋_GB2312" w:hAnsi="仿宋_GB2312" w:cs="仿宋_GB2312" w:eastAsia="仿宋_GB2312"/>
        </w:rPr>
        <w:t>9、合同履约能力：供应商具有履行合同所必需的设备和专业技术能力</w:t>
      </w:r>
    </w:p>
    <w:p>
      <w:pPr>
        <w:pStyle w:val="null3"/>
      </w:pPr>
      <w:r>
        <w:rPr>
          <w:rFonts w:ascii="仿宋_GB2312" w:hAnsi="仿宋_GB2312" w:cs="仿宋_GB2312" w:eastAsia="仿宋_GB2312"/>
        </w:rPr>
        <w:t>10、信用中国网、中国执行公开网、中国政府采购网查询情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11、供应商关系关联情况：单位负责人为同一人或者存在直接控股、管理关系的不同供应商，不得参加同一合同项下的政府采购活动</w:t>
      </w:r>
    </w:p>
    <w:p>
      <w:pPr>
        <w:pStyle w:val="null3"/>
      </w:pPr>
      <w:r>
        <w:rPr>
          <w:rFonts w:ascii="仿宋_GB2312" w:hAnsi="仿宋_GB2312" w:cs="仿宋_GB2312" w:eastAsia="仿宋_GB2312"/>
        </w:rPr>
        <w:t>12、落实政府采购政策需满足的资格要求：本项目专门面向中小企业采购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陕西省渭南市朝阳大街与仓程路十字林业大厦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杨晓娟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0913-8183210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曾艺林、谢昀琦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17629017649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代理服务费收费标准：共计人民币（大写）：伍仟元整（¥5000.00）由成交供应商在领取成交通知书时一次性向采购代理机构支付。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渭南市林业局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一、《国土变更调查技术要求（2025年度适用）》； 二、《森林草原湿地荒漠调查监测技术要求（2025年度适用）》； 三、《陕西省2025年度国土变更调查及森林草原湿地荒漠调查监测实施方案》； 四、《渭南市2025年度国土变更调查及森林草原湿地荒漠调查监测实施方案》。 五、国家现行相关法律法规规定的其他验收标准及规范。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联系人：曾艺林、谢昀琦</w:t>
      </w:r>
    </w:p>
    <w:p>
      <w:pPr>
        <w:pStyle w:val="null3"/>
      </w:pPr>
      <w:r>
        <w:rPr>
          <w:rFonts w:ascii="仿宋_GB2312" w:hAnsi="仿宋_GB2312" w:cs="仿宋_GB2312" w:eastAsia="仿宋_GB2312"/>
        </w:rPr>
        <w:t>联系电话：17629017649</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2025年森林草原湿地荒漠化调查监测市级审核汇总服务项目，市级审核汇总主要包括：对各县（市、区）成果进行内外业审核和市级汇总两方面工作。内外业审核是结合内业调查信息提取结果，对照遥感影像、举证照片，对地方上报的林草湿荒监测成果进行质量核查，核实地类变化地类边界范围、地类、属性及单独图层的正确性，同时核实变化地块植被覆盖类型等资源属性调查成果的正确性，核实县级修正的“国土绿化空间”“林业管理边界”标注成果的正确性，同时根据内业核查结果和实际情况进行外业抽查。利用全国统一的数据库质量检查软件，对各县级提交的调查（更新）成果进行数据质量检查。成果汇总是根据各县（市、区）最终年度监测成果，整理形成市级年度监测汇总成果，包括数据库、文字报告、汇总表格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175,200.00</w:t>
      </w:r>
    </w:p>
    <w:p>
      <w:pPr>
        <w:pStyle w:val="null3"/>
      </w:pPr>
      <w:r>
        <w:rPr>
          <w:rFonts w:ascii="仿宋_GB2312" w:hAnsi="仿宋_GB2312" w:cs="仿宋_GB2312" w:eastAsia="仿宋_GB2312"/>
        </w:rPr>
        <w:t>采购包最高限价（元）: 175,200.00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2025年森林草原湿地荒漠化调查监测市级审核汇总服务项目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标的名称：2025年森林草原湿地荒漠化调查监测市级审核汇总服务项目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采购内容：</w:t>
            </w:r>
            <w:r>
              <w:rPr>
                <w:rFonts w:ascii="仿宋_GB2312" w:hAnsi="仿宋_GB2312" w:cs="仿宋_GB2312" w:eastAsia="仿宋_GB2312"/>
                <w:sz w:val="18"/>
                <w:color w:val="000000"/>
              </w:rPr>
              <w:t>对各县（市、区）成果进行内外业审核和市级汇总两方面工作。</w:t>
            </w:r>
          </w:p>
          <w:p>
            <w:pPr>
              <w:pStyle w:val="null3"/>
              <w:jc w:val="both"/>
            </w:pPr>
            <w:r>
              <w:rPr>
                <w:rFonts w:ascii="仿宋_GB2312" w:hAnsi="仿宋_GB2312" w:cs="仿宋_GB2312" w:eastAsia="仿宋_GB2312"/>
                <w:sz w:val="18"/>
                <w:color w:val="000000"/>
              </w:rPr>
              <w:t>内外业审核是结合内业调查信息提取结果，对照遥感影像、举证照片，对地方上报的林草湿荒监测成果进行质量核查，核实地类变化地类边界范围、地类、属性及单独图层的正确性，同时核实变化地块植被覆盖类型等资源属性调查成果的正确性，核实县级修正的“国土绿化空间”“林业管理边界”标注成果的正确性，同时根据内业核查结果和实际情况进行外业抽查。利用全国统一的数据库质量检查软件，对各县级提交的年底集中调查（更新）成果进行数据质量检查。</w:t>
            </w:r>
          </w:p>
          <w:p>
            <w:pPr>
              <w:pStyle w:val="null3"/>
            </w:pPr>
            <w:r>
              <w:rPr>
                <w:rFonts w:ascii="仿宋_GB2312" w:hAnsi="仿宋_GB2312" w:cs="仿宋_GB2312" w:eastAsia="仿宋_GB2312"/>
                <w:sz w:val="18"/>
                <w:color w:val="000000"/>
              </w:rPr>
              <w:t>成果汇总是根据各县（市、区）最终年度监测成果，整理形成市级年度监测汇总成果，包括数据库、文字报告、汇总表格等。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功能要求：根据《渭南市自然资源和规划局 渭南市林业局关于做好2025年度国土变更调查及森林草原湿地荒漠调查监测工作的通知》安排，现需开展2025年森林草原湿地荒漠化调查监测市级审核汇总服务项目工作。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rPr>
              <w:t>服务期限：自合同签订之日起30天内完成市级审核汇总并报省级审核通过，最终成果经国家林业和草原局审核通过后合同时限完成。并提供市级年度监测汇总成果。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rPr>
              <w:t>服务地点：陕西省渭南市辖区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color w:val="000000"/>
              </w:rPr>
              <w:t>需执行的国家相关标准、行业标准、地方标准或者其他标准、规范标准：</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《中华人民共和国土地管理法》</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《中华人民共和国森林法》；</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《中华人民共和国草原法》；</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《中华人民共和国湿地保护法》；</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《中华人民共和国森林法实施条例》；</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森林资源连续清查技术规程（GB/T 38590-2020）；</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森林资源规划设计调查技术规程（GB/T 26424-2010）；</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第三次全国国土调查技术规程（TD/T 1055-2019）；</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湿地分类（GB/T 24708-2009）；</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林地分类（LY/T 1812-2021）；</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草地分类（NY/T 2997-2016）；</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森林资源数据采集技术规范（LY/T 2188.2-2013）；</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森林资源调查卫星遥感影像图制作技术规程（LY/T 1954-2011）；</w:t>
            </w:r>
          </w:p>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林业地图图式（LY/T 1821-2009）；</w:t>
            </w:r>
          </w:p>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《全国林草生态综合监测技术方案》（国家林业和草原局 2023年）；</w:t>
            </w:r>
          </w:p>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《国土空间调查、规划、用途管制用地用海分类指南（试行）》（自然资办发〔2020〕51号）；</w:t>
            </w:r>
          </w:p>
          <w:p>
            <w:pPr>
              <w:pStyle w:val="null3"/>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《遥感图像处理与判读规范（试行）》（林资调字[1999]49号）；</w:t>
            </w:r>
          </w:p>
          <w:p>
            <w:pPr>
              <w:pStyle w:val="null3"/>
              <w:jc w:val="left"/>
            </w:pPr>
            <w:r>
              <w:rPr>
                <w:rFonts w:ascii="仿宋_GB2312" w:hAnsi="仿宋_GB2312" w:cs="仿宋_GB2312" w:eastAsia="仿宋_GB2312"/>
                <w:sz w:val="18"/>
                <w:color w:val="000000"/>
              </w:rPr>
              <w:t>（18）</w:t>
            </w:r>
            <w:r>
              <w:rPr>
                <w:rFonts w:ascii="仿宋_GB2312" w:hAnsi="仿宋_GB2312" w:cs="仿宋_GB2312" w:eastAsia="仿宋_GB2312"/>
                <w:sz w:val="18"/>
                <w:color w:val="000000"/>
              </w:rPr>
              <w:t>《国土绿化空间与管理类型标注规则》；</w:t>
            </w:r>
          </w:p>
          <w:p>
            <w:pPr>
              <w:pStyle w:val="null3"/>
              <w:jc w:val="left"/>
            </w:pPr>
            <w:r>
              <w:rPr>
                <w:rFonts w:ascii="仿宋_GB2312" w:hAnsi="仿宋_GB2312" w:cs="仿宋_GB2312" w:eastAsia="仿宋_GB2312"/>
                <w:sz w:val="18"/>
                <w:color w:val="000000"/>
              </w:rPr>
              <w:t>（19）</w:t>
            </w:r>
            <w:r>
              <w:rPr>
                <w:rFonts w:ascii="仿宋_GB2312" w:hAnsi="仿宋_GB2312" w:cs="仿宋_GB2312" w:eastAsia="仿宋_GB2312"/>
                <w:sz w:val="18"/>
                <w:color w:val="000000"/>
              </w:rPr>
              <w:t>《国土变更调查技术要求（2025年度适用）》；</w:t>
            </w:r>
          </w:p>
          <w:p>
            <w:pPr>
              <w:pStyle w:val="null3"/>
              <w:jc w:val="left"/>
            </w:pPr>
            <w:r>
              <w:rPr>
                <w:rFonts w:ascii="仿宋_GB2312" w:hAnsi="仿宋_GB2312" w:cs="仿宋_GB2312" w:eastAsia="仿宋_GB2312"/>
                <w:sz w:val="18"/>
                <w:color w:val="000000"/>
              </w:rPr>
              <w:t>（20）</w:t>
            </w:r>
            <w:r>
              <w:rPr>
                <w:rFonts w:ascii="仿宋_GB2312" w:hAnsi="仿宋_GB2312" w:cs="仿宋_GB2312" w:eastAsia="仿宋_GB2312"/>
                <w:sz w:val="18"/>
                <w:color w:val="000000"/>
              </w:rPr>
              <w:t>《森林草原湿地荒漠调查监测技术要求（2025年度适用）》；</w:t>
            </w:r>
          </w:p>
          <w:p>
            <w:pPr>
              <w:pStyle w:val="null3"/>
              <w:jc w:val="left"/>
            </w:pPr>
            <w:r>
              <w:rPr>
                <w:rFonts w:ascii="仿宋_GB2312" w:hAnsi="仿宋_GB2312" w:cs="仿宋_GB2312" w:eastAsia="仿宋_GB2312"/>
                <w:sz w:val="18"/>
                <w:color w:val="000000"/>
              </w:rPr>
              <w:t>（21）</w:t>
            </w:r>
            <w:r>
              <w:rPr>
                <w:rFonts w:ascii="仿宋_GB2312" w:hAnsi="仿宋_GB2312" w:cs="仿宋_GB2312" w:eastAsia="仿宋_GB2312"/>
                <w:sz w:val="18"/>
                <w:color w:val="000000"/>
              </w:rPr>
              <w:t>《陕西省2025年度国土变更调查及森林草原湿地荒漠调查监测实施方案》；</w:t>
            </w:r>
          </w:p>
          <w:p>
            <w:pPr>
              <w:pStyle w:val="null3"/>
            </w:pPr>
            <w:r>
              <w:rPr>
                <w:rFonts w:ascii="仿宋_GB2312" w:hAnsi="仿宋_GB2312" w:cs="仿宋_GB2312" w:eastAsia="仿宋_GB2312"/>
                <w:sz w:val="18"/>
                <w:color w:val="000000"/>
              </w:rPr>
              <w:t>（22）</w:t>
            </w:r>
            <w:r>
              <w:rPr>
                <w:rFonts w:ascii="仿宋_GB2312" w:hAnsi="仿宋_GB2312" w:cs="仿宋_GB2312" w:eastAsia="仿宋_GB2312"/>
                <w:sz w:val="18"/>
                <w:color w:val="000000"/>
              </w:rPr>
              <w:t>《渭南市2025年度国土变更调查及森林草原湿地荒漠调查监测实施方案》。</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color w:val="000000"/>
              </w:rPr>
              <w:t>服务指标的具体要求：</w:t>
            </w:r>
          </w:p>
          <w:p>
            <w:pPr>
              <w:pStyle w:val="null3"/>
            </w:pPr>
            <w:r>
              <w:rPr>
                <w:rFonts w:ascii="仿宋_GB2312" w:hAnsi="仿宋_GB2312" w:cs="仿宋_GB2312" w:eastAsia="仿宋_GB2312"/>
                <w:sz w:val="18"/>
                <w:color w:val="000000"/>
              </w:rPr>
              <w:t>根据《渭南市自然资源和规划局 渭南市林业局关于做好2025年度国土变更调查及森林草原湿地荒漠调查监测工作的通知》文件要求，开展2025年森林草原湿地荒漠化调查监测市级审核汇总服务项目工作，市级审核汇总主要包括：对各县（市、区）成果进行内外业审核和市级汇总两方面工作。内外业审核是结合内业调查信息提取结果，对照遥感影像、举证照片，对地方上报的林草湿荒监测成果进行质量核查，核实地类变化地类边界范围、地类、属性及单独图层的正确性，同时核实变化地块植被覆盖类型等资源属性调查成果的正确性，核实县级修正的“国土绿化空间”“林业管理边界”标注成果的正确性，同时根据内业核查结果和实际情况进行外业抽查。利用全国统一的数据库质量检查软件，对各县级提交的年底集中调查（更新）成果进行数据质量检查。成果汇总是根据各县（市、区）最终年度监测成果，整理形成市级年度监测汇总成果，包括数据库、文字报告、汇总表格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8"/>
              </w:rPr>
              <w:t>采购清单：本项目主要包括本次项目所需的调查费、人工费、服务费、管理费、税金等所有费用。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color w:val="000000"/>
              </w:rPr>
              <w:t>服务质量、标准、期限、效率等要求：</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服务质量：</w:t>
            </w:r>
          </w:p>
          <w:p>
            <w:pPr>
              <w:pStyle w:val="null3"/>
              <w:jc w:val="both"/>
            </w:pPr>
            <w:r>
              <w:rPr>
                <w:rFonts w:ascii="仿宋_GB2312" w:hAnsi="仿宋_GB2312" w:cs="仿宋_GB2312" w:eastAsia="仿宋_GB2312"/>
                <w:sz w:val="18"/>
                <w:color w:val="000000"/>
              </w:rPr>
              <w:t>确保调查监测成果完整、规范、真实、准确，符合相关规范要求。调查成果经自然资源、林业主管部门验收，所有调查监测成果应全部留档，阶段成果形成后要及时存档，确保全过程可溯源。在项目验收交付后，应做好相关数据回收与清理。</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服务标准：</w:t>
            </w:r>
          </w:p>
          <w:p>
            <w:pPr>
              <w:pStyle w:val="null3"/>
              <w:jc w:val="both"/>
            </w:pPr>
            <w:r>
              <w:rPr>
                <w:rFonts w:ascii="仿宋_GB2312" w:hAnsi="仿宋_GB2312" w:cs="仿宋_GB2312" w:eastAsia="仿宋_GB2312"/>
                <w:sz w:val="18"/>
                <w:color w:val="000000"/>
              </w:rPr>
              <w:t>内外业审核：结合内业调查信息提取结果，对照遥感影像、举证照片，对地方上报的林草湿荒监测成果进行质量核查，核实地类变化地类边界范围、地类、属性及单独图层的正确性，同时核实变化地块植被覆盖类型等资源属性调查成果的正确性，核实县级修正的“国土绿化空间”“林业管理边界”标注成果的正确性，同时根据内业核查结果和实际情况进行外业抽查。利用全国统一的数据库质量检查软件，对各县级提交的年底集中调查（更新）成果进行数据质量检查。</w:t>
            </w:r>
          </w:p>
          <w:p>
            <w:pPr>
              <w:pStyle w:val="null3"/>
              <w:jc w:val="both"/>
            </w:pPr>
            <w:r>
              <w:rPr>
                <w:rFonts w:ascii="仿宋_GB2312" w:hAnsi="仿宋_GB2312" w:cs="仿宋_GB2312" w:eastAsia="仿宋_GB2312"/>
                <w:sz w:val="18"/>
                <w:color w:val="000000"/>
              </w:rPr>
              <w:t>成果汇总：成果汇总是根据各县（市、区）最终年度监测成果，整理形成市级年度监测汇总成果，包括数据库、文字报告、汇总表格等。</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服务期限：</w:t>
            </w:r>
          </w:p>
          <w:p>
            <w:pPr>
              <w:pStyle w:val="null3"/>
              <w:jc w:val="both"/>
            </w:pPr>
            <w:r>
              <w:rPr>
                <w:rFonts w:ascii="仿宋_GB2312" w:hAnsi="仿宋_GB2312" w:cs="仿宋_GB2312" w:eastAsia="仿宋_GB2312"/>
                <w:sz w:val="18"/>
                <w:color w:val="000000"/>
              </w:rPr>
              <w:t>自合同签订之日起30天内完成市级审核汇总并报省级审核通过，最终成果经国家林业和草原局审核通过后合同时限完成。并提供市级年度监测汇总成果。</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保密要求：</w:t>
            </w:r>
          </w:p>
          <w:p>
            <w:pPr>
              <w:pStyle w:val="null3"/>
            </w:pPr>
            <w:r>
              <w:rPr>
                <w:rFonts w:ascii="仿宋_GB2312" w:hAnsi="仿宋_GB2312" w:cs="仿宋_GB2312" w:eastAsia="仿宋_GB2312"/>
                <w:sz w:val="18"/>
                <w:color w:val="000000"/>
              </w:rPr>
              <w:t>建立数据成果保密管理机制，提前与技术单位签订保密协议，明确各自应当承担的保密义务和法律责任，定期开展调查人员的保密教育，责任到人，严防数据泄密。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自合同签订之日起30天内完成市级审核汇总并报省级审核通过，最终成果经国家林业和草原局审核通过后合同时限完成。并提供市级年度监测汇总成果。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陕西省渭南市辖区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（1）《国土变更调查技术要求（2025年度适用）》； （2）《森林草原湿地荒漠调查监测技术要求（2025年度适用）》； （3）《陕西省2025年度国土变更调查及森林草原湿地荒漠调查监测实施方案》； （4）《渭南市2025年度国土变更调查及森林草原湿地荒漠调查监测实施方案》； （5）国家现行相关法律法规规定的其他验收标准及规范。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合同签订后，项目开始实施且成交人开具增值税发票后，采购人向成交人支付合同价款的40%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最终成果通过国家审查后，成交人开具增值税发票后，采购人向成交人支付合同价款的60%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3.3.6.1.权利与义务： 3.3.6.1.1.甲方权利 （一）甲方有权询问工作进展，根据项目推进情况要求乙方到场解决争议。 （二）甲方有权阐述对项目具体问题的意见和建议。 （三）甲方认定乙方人员不按合同履行职责，或与第三人串通给甲方造成损失的，甲方有权要求更换服务专业人员或项目负责人。 3.3.6.1.2.甲方义务 （一）甲方应负责有关协调工作，为乙方提供工作条件。 （二）甲方应及时向乙方提供与本项目编制有关的资料。 （三）甲方应在约定时间内就乙方要求事项做出答复。 3.3.6.1.3.乙方权利 （一）乙方在编制过程中，如甲方提供的资料不明确可向甲方提出书面报告。 （二）乙方在项目实施过程中，有权到项目现场勘查、调查。 3.3.6.1.4.乙方义务 （一）向甲方提供与本项目有关的资料，包括数据库、文字报告、汇总表格等，并按合同约定的范围实施业务。 （二）在履行合同期间或合同规定期限内，乙方不得泄露与本合同规定业务活动有关的保密资料。 （三）乙方需对甲方提供的所有资料进行保密，待项目完成后做好保密数据交还工作。因乙方原因造成相关数据泄密的，或乙方未按要求交还项目资料造成数据泄密的，乙方应承担所有责任，并承担由此造成的所有责任。 （四）乙方员工在工作期间发生的一切事故、伤亡以及其他损失，由乙方自行承担。 3.3.6.2.违约责任： （一）甲乙双方必须遵守本合同并执行合同中的各项规定，保证本合同的正常履行。 （二）双方本着友好合作的态度,对合同履行过程中发生的纠纷应及时协商解决，协商不成的，向采购人所在地有管辖权的人民法院诉讼解决。 （三）在合同有效期内，任何一方因不可抗力事件导致不能履行合同，则合同履行期可延长，其延长期与不可抗力影响期相同。 乙方提交的工作成果不符合国家法律法规和合同规定的，甲方有权拒收，并由乙方承担一切费用。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（一）在合同有效期内，任何一方因不可抗力事件导致不能履行合同，则合同履行期延长，其延长期与不可抗力影响期相同。 （二）甲方提供给乙方的相关基础资料只限于本项目，乙方需对资料保密，不得外传或用于本项目以外的其他事项。 （三）本项目工作成果只允许提交给甲方，不得提供给其他任何单位或用于其他事项。 （四）如乙方擅自提供资料，导致资料泄密，乙方需承担一切法律责任。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14、供应商应提供健全的财务会计制度的证明材料.docx 05、财务状况.docx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11、供应商关系关联情况.docx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供应商须具备独立承担民事责任能力的法人或其他组织，并出具合法有效的营业执照（含2024年年度报告）</w:t>
            </w:r>
          </w:p>
        </w:tc>
        <w:tc>
          <w:tcPr>
            <w:tcW w:type="dxa" w:w="1661"/>
          </w:tcPr>
          <w:p>
            <w:pPr>
              <w:pStyle w:val="null3"/>
            </w:pPr>
            <w:r>
              <w:rPr>
                <w:rFonts w:ascii="仿宋_GB2312" w:hAnsi="仿宋_GB2312" w:cs="仿宋_GB2312" w:eastAsia="仿宋_GB2312"/>
              </w:rPr>
              <w:t>01、供应商基本情况.docx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供应商须具备林业调查规划设计或测绘乙级及以上资质</w:t>
            </w:r>
          </w:p>
        </w:tc>
        <w:tc>
          <w:tcPr>
            <w:tcW w:type="dxa" w:w="1661"/>
          </w:tcPr>
          <w:p>
            <w:pPr>
              <w:pStyle w:val="null3"/>
            </w:pPr>
            <w:r>
              <w:rPr>
                <w:rFonts w:ascii="仿宋_GB2312" w:hAnsi="仿宋_GB2312" w:cs="仿宋_GB2312" w:eastAsia="仿宋_GB2312"/>
              </w:rPr>
              <w:t>02、供应商资质.docx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项目负责人须具备林业相关或测绘专业中级及以上职称</w:t>
            </w:r>
          </w:p>
        </w:tc>
        <w:tc>
          <w:tcPr>
            <w:tcW w:type="dxa" w:w="1661"/>
          </w:tcPr>
          <w:p>
            <w:pPr>
              <w:pStyle w:val="null3"/>
            </w:pPr>
            <w:r>
              <w:rPr>
                <w:rFonts w:ascii="仿宋_GB2312" w:hAnsi="仿宋_GB2312" w:cs="仿宋_GB2312" w:eastAsia="仿宋_GB2312"/>
              </w:rPr>
              <w:t>03、项目负责人.docx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法定代表人参加的，须提供加盖公章的法定代表人身份证明书原件及法人身份证复印件，并出示身份证原件；法定代表人授权他人参加的，须提供加盖公章的法定代表人身份证明书原件及法定代表人委托授权书原件，并出示被授权代表身份证原件及加盖公章的身份证复印件和近三个月的社保缴纳证明</w:t>
            </w:r>
          </w:p>
        </w:tc>
        <w:tc>
          <w:tcPr>
            <w:tcW w:type="dxa" w:w="1661"/>
          </w:tcPr>
          <w:p>
            <w:pPr>
              <w:pStyle w:val="null3"/>
            </w:pPr>
            <w:r>
              <w:rPr>
                <w:rFonts w:ascii="仿宋_GB2312" w:hAnsi="仿宋_GB2312" w:cs="仿宋_GB2312" w:eastAsia="仿宋_GB2312"/>
              </w:rPr>
              <w:t>04、法人证明或法人授权委托书.docx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14、供应商应提供健全的财务会计制度的证明材料.docx 05、财务状况.docx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2025年1月至今已缴纳的至少三个月纳税证明或完税证明。依法免税的单位应提供相关证明材料</w:t>
            </w:r>
          </w:p>
        </w:tc>
        <w:tc>
          <w:tcPr>
            <w:tcW w:type="dxa" w:w="1661"/>
          </w:tcPr>
          <w:p>
            <w:pPr>
              <w:pStyle w:val="null3"/>
            </w:pPr>
            <w:r>
              <w:rPr>
                <w:rFonts w:ascii="仿宋_GB2312" w:hAnsi="仿宋_GB2312" w:cs="仿宋_GB2312" w:eastAsia="仿宋_GB2312"/>
              </w:rPr>
              <w:t>06、税收缴纳证明.docx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纳的至少三个月的社会保障资金缴存单据或社保机构开具的社会保险参保缴费情况证明，单据或证明上应有社保机构或代收机构的公章。依法不需要缴纳社会保障资金的供应商应提供相关文件证明资料</w:t>
            </w:r>
          </w:p>
        </w:tc>
        <w:tc>
          <w:tcPr>
            <w:tcW w:type="dxa" w:w="1661"/>
          </w:tcPr>
          <w:p>
            <w:pPr>
              <w:pStyle w:val="null3"/>
            </w:pPr>
            <w:r>
              <w:rPr>
                <w:rFonts w:ascii="仿宋_GB2312" w:hAnsi="仿宋_GB2312" w:cs="仿宋_GB2312" w:eastAsia="仿宋_GB2312"/>
              </w:rPr>
              <w:t>07、社会保障资金缴纳证明.docx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08、没有重大违法记录的书面说明.docx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供应商具有履行合同所必需的设备和专业技术能力</w:t>
            </w:r>
          </w:p>
        </w:tc>
        <w:tc>
          <w:tcPr>
            <w:tcW w:type="dxa" w:w="1661"/>
          </w:tcPr>
          <w:p>
            <w:pPr>
              <w:pStyle w:val="null3"/>
            </w:pPr>
            <w:r>
              <w:rPr>
                <w:rFonts w:ascii="仿宋_GB2312" w:hAnsi="仿宋_GB2312" w:cs="仿宋_GB2312" w:eastAsia="仿宋_GB2312"/>
              </w:rPr>
              <w:t>09、合同履约能力.docx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信用中国网、中国执行公开网、中国政府采购网查询情况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10、信用中国网、中国执行公开网、中国政府采购网查询情况.docx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供应商关系关联情况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11、供应商关系关联情况.docx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01、供应商基本情况.docx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09、合同履约能力.docx 服务内容及服务邀请应答表 01、供应商基本情况.docx 中小企业声明函 商务应答表 10、信用中国网、中国执行公开网、中国政府采购网查询情况.docx 11、供应商关系关联情况.docx 14、供应商应提供健全的财务会计制度的证明材料.docx 报价表 07、社会保障资金缴纳证明.docx 响应文件封面 04、法人证明或法人授权委托书.docx 残疾人福利性单位声明函 02、供应商资质.docx 03、项目负责人.docx 06、税收缴纳证明.docx 标的清单 13、技术部分.docx 05、财务状况.docx 响应函 08、没有重大违法记录的书面说明.docx 监狱企业的证明文件 12、商务部分.docx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自合同签订之日起30天内完成市级审核汇总并报省级审核通过，最终成果经国家林业和草原局审核通过后合同时限完成。并提供市级年度监测汇总成果</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陕西省渭南市辖区</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和最后报价相同的，按照服务方案优劣顺序推荐；评审得分和最后报价及服务方案得分仍相同的，由磋商小组共同推荐本采购项目其他指标进行对比，依次类推。</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供应商提供2022年11月至今承接过类似项目业绩，每有一项有效业绩，得2分，最高得6分。 （提供合同复印件加盖单位公章，日期以合同签订时间为准，未提供或提供不全的不得分）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12、商务部分.docx</w:t>
            </w:r>
          </w:p>
        </w:tc>
      </w:tr>
      <w:tr>
        <w:tc>
          <w:tcPr>
            <w:tcW w:type="dxa" w:w="831"/>
            <w:vMerge/>
          </w:tcPr>
          <w:p/>
        </w:tc>
        <w:tc>
          <w:tcPr>
            <w:tcW w:type="dxa" w:w="1661"/>
          </w:tcPr>
          <w:p>
            <w:pPr>
              <w:pStyle w:val="null3"/>
            </w:pPr>
            <w:r>
              <w:rPr>
                <w:rFonts w:ascii="仿宋_GB2312" w:hAnsi="仿宋_GB2312" w:cs="仿宋_GB2312" w:eastAsia="仿宋_GB2312"/>
              </w:rPr>
              <w:t>项目负责人资历</w:t>
            </w:r>
          </w:p>
        </w:tc>
        <w:tc>
          <w:tcPr>
            <w:tcW w:type="dxa" w:w="2492"/>
          </w:tcPr>
          <w:p>
            <w:pPr>
              <w:pStyle w:val="null3"/>
            </w:pPr>
            <w:r>
              <w:rPr>
                <w:rFonts w:ascii="仿宋_GB2312" w:hAnsi="仿宋_GB2312" w:cs="仿宋_GB2312" w:eastAsia="仿宋_GB2312"/>
              </w:rPr>
              <w:t>（1）具备林业相关或测绘专业高级及以上职称，得2分；中级职称，得1分，其余不得分。 （2）提供2022年11月至今承接过类似项目业绩，每有一项有效业绩，得1分，最高得2分。 （提供相关证明资料）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12、商务部分.docx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（1）其他人员中（不含项目负责人）具备林业相关或测绘相关专业高级职称，每有1人得1分，中级职称每有1人得0.5分，此项最高，得2分。 （2）项目管理机构设置合理、专业人员配备齐全、职责划分明确得2.1-3分；项目管理机构设置较合理、人员专业配备较齐全、职责划分较明确，得1-2分；未响应不得分。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12、商务部分.docx</w:t>
            </w:r>
          </w:p>
        </w:tc>
      </w:tr>
      <w:tr>
        <w:tc>
          <w:tcPr>
            <w:tcW w:type="dxa" w:w="831"/>
            <w:vMerge/>
          </w:tcPr>
          <w:p/>
        </w:tc>
        <w:tc>
          <w:tcPr>
            <w:tcW w:type="dxa" w:w="1661"/>
          </w:tcPr>
          <w:p>
            <w:pPr>
              <w:pStyle w:val="null3"/>
            </w:pPr>
            <w:r>
              <w:rPr>
                <w:rFonts w:ascii="仿宋_GB2312" w:hAnsi="仿宋_GB2312" w:cs="仿宋_GB2312" w:eastAsia="仿宋_GB2312"/>
              </w:rPr>
              <w:t>对项目的熟悉和了解程度</w:t>
            </w:r>
          </w:p>
        </w:tc>
        <w:tc>
          <w:tcPr>
            <w:tcW w:type="dxa" w:w="2492"/>
          </w:tcPr>
          <w:p>
            <w:pPr>
              <w:pStyle w:val="null3"/>
            </w:pPr>
            <w:r>
              <w:rPr>
                <w:rFonts w:ascii="仿宋_GB2312" w:hAnsi="仿宋_GB2312" w:cs="仿宋_GB2312" w:eastAsia="仿宋_GB2312"/>
              </w:rPr>
              <w:t>对项目服务指标、技术规格、服务标准、验收标准等情况理解清晰，对项目的各项工作和要求理解到位，符合本项目要求，得3.1-6分；对项目的各项工作和要求理解一般，得2.1-3分；对项目的各项工作和要求理解模糊，得1-2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重点难点分析准确到位、解决措施合理、有详细说明，得2.1-6分；重点难点分析较简单、解决措施针对性不强，得1-2分；未响应不得分。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目标清晰明确，与本项目主体紧密相关，符合实际情况，可实施性强，实施方案可以指导本项目工作，得8.1-15分；项目目标较清晰，与本项目主体有一定的关联性，基本符合实际情况，可实施性较强，部分实施方案可以指导本项目工作，得3.1-8分；项目目标模糊，与本项目主体关联性弱，可实施性较差，但满足项目基本需求，得1-3分；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具有完善的质量控制制度、管理制度和成果提交措施，制度内容完善，措施合理、可行，得5.1-10分；制度内容基本完善，措施基本合理，得2.1-5分；制度、措施内容较空泛，得1-2分；未响应不得分。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风险控制制度</w:t>
            </w:r>
          </w:p>
        </w:tc>
        <w:tc>
          <w:tcPr>
            <w:tcW w:type="dxa" w:w="2492"/>
          </w:tcPr>
          <w:p>
            <w:pPr>
              <w:pStyle w:val="null3"/>
            </w:pPr>
            <w:r>
              <w:rPr>
                <w:rFonts w:ascii="仿宋_GB2312" w:hAnsi="仿宋_GB2312" w:cs="仿宋_GB2312" w:eastAsia="仿宋_GB2312"/>
              </w:rPr>
              <w:t>具有合理有效的项目风险控制制度，风险控制措施得当、可行，措施内容完善合理、可行性高，得5.1-10分；具有风险控制制度，措施内容基本完善合理，得2.1-5分；制度、措施内容较空泛，得1-2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有具体的计划安排，详细实施措施等，计划安排合理，措施完善，完全满足采购人需求，得4.1-8分；计划安排较合理，措施基本完善、可行，得1-4分；未响应不得分。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保密机制</w:t>
            </w:r>
          </w:p>
        </w:tc>
        <w:tc>
          <w:tcPr>
            <w:tcW w:type="dxa" w:w="2492"/>
          </w:tcPr>
          <w:p>
            <w:pPr>
              <w:pStyle w:val="null3"/>
            </w:pPr>
            <w:r>
              <w:rPr>
                <w:rFonts w:ascii="仿宋_GB2312" w:hAnsi="仿宋_GB2312" w:cs="仿宋_GB2312" w:eastAsia="仿宋_GB2312"/>
              </w:rPr>
              <w:t>建立数据成果保密管理机制，定期开展调查人员的保密教育，责任到人，供应商提供保密承诺，承诺合理，内容全面，得2.1-5分；未建立数据成果保密管理机制，未对开展调查人员进行保密教育，提供的保密承诺简单，内容空泛，但满足项目基本需求，得1-2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应急响应措施</w:t>
            </w:r>
          </w:p>
        </w:tc>
        <w:tc>
          <w:tcPr>
            <w:tcW w:type="dxa" w:w="2492"/>
          </w:tcPr>
          <w:p>
            <w:pPr>
              <w:pStyle w:val="null3"/>
            </w:pPr>
            <w:r>
              <w:rPr>
                <w:rFonts w:ascii="仿宋_GB2312" w:hAnsi="仿宋_GB2312" w:cs="仿宋_GB2312" w:eastAsia="仿宋_GB2312"/>
              </w:rPr>
              <w:t>分析项目可能发生的特殊情况制定应急响应措施，措施方案内容完善、合理、可行，得2.1-5分；措施方案内容基本合理，得1-2分；未响应不得分。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采购内容、服务期限做出切实可行的服务承诺，并提出针对本项目的合理化意见和建议，能最大程度满足项目需要，确保项目能按时、保质、保量完成。承诺内容清晰、完整，承诺指标明确性强，后续服务具有可延续性，得2.1-5分；承诺内容空泛，承诺指标模糊，但满足项目基本需求，得1-2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（2）满足磋商文件实质性要求且最终报价最低的供应商的价格为磋商基准价，其价格分为满分15分。 （3）磋商报价得分=（磋商基准价/最终磋商报价）×15%×100的公式计算得分。 （4）磋商报价不完整的，不进入评标标准价的计算，本项得0分。 （5）经磋商小组一致认定，供应商的最终磋商报价低于公认市场成本，或超过最高限价,其响应将被拒绝。</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详见附件：01、供应商基本情况.docx</w:t>
      </w:r>
    </w:p>
    <w:p>
      <w:pPr>
        <w:pStyle w:val="null3"/>
        <w:ind w:firstLine="960"/>
      </w:pPr>
      <w:r>
        <w:rPr>
          <w:rFonts w:ascii="仿宋_GB2312" w:hAnsi="仿宋_GB2312" w:cs="仿宋_GB2312" w:eastAsia="仿宋_GB2312"/>
        </w:rPr>
        <w:t>详见附件：02、供应商资质.docx</w:t>
      </w:r>
    </w:p>
    <w:p>
      <w:pPr>
        <w:pStyle w:val="null3"/>
        <w:ind w:firstLine="960"/>
      </w:pPr>
      <w:r>
        <w:rPr>
          <w:rFonts w:ascii="仿宋_GB2312" w:hAnsi="仿宋_GB2312" w:cs="仿宋_GB2312" w:eastAsia="仿宋_GB2312"/>
        </w:rPr>
        <w:t>详见附件：03、项目负责人.docx</w:t>
      </w:r>
    </w:p>
    <w:p>
      <w:pPr>
        <w:pStyle w:val="null3"/>
        <w:ind w:firstLine="960"/>
      </w:pPr>
      <w:r>
        <w:rPr>
          <w:rFonts w:ascii="仿宋_GB2312" w:hAnsi="仿宋_GB2312" w:cs="仿宋_GB2312" w:eastAsia="仿宋_GB2312"/>
        </w:rPr>
        <w:t>详见附件：04、法人证明或法人授权委托书.docx</w:t>
      </w:r>
    </w:p>
    <w:p>
      <w:pPr>
        <w:pStyle w:val="null3"/>
        <w:ind w:firstLine="960"/>
      </w:pPr>
      <w:r>
        <w:rPr>
          <w:rFonts w:ascii="仿宋_GB2312" w:hAnsi="仿宋_GB2312" w:cs="仿宋_GB2312" w:eastAsia="仿宋_GB2312"/>
        </w:rPr>
        <w:t>详见附件：05、财务状况.docx</w:t>
      </w:r>
    </w:p>
    <w:p>
      <w:pPr>
        <w:pStyle w:val="null3"/>
        <w:ind w:firstLine="960"/>
      </w:pPr>
      <w:r>
        <w:rPr>
          <w:rFonts w:ascii="仿宋_GB2312" w:hAnsi="仿宋_GB2312" w:cs="仿宋_GB2312" w:eastAsia="仿宋_GB2312"/>
        </w:rPr>
        <w:t>详见附件：06、税收缴纳证明.docx</w:t>
      </w:r>
    </w:p>
    <w:p>
      <w:pPr>
        <w:pStyle w:val="null3"/>
        <w:ind w:firstLine="960"/>
      </w:pPr>
      <w:r>
        <w:rPr>
          <w:rFonts w:ascii="仿宋_GB2312" w:hAnsi="仿宋_GB2312" w:cs="仿宋_GB2312" w:eastAsia="仿宋_GB2312"/>
        </w:rPr>
        <w:t>详见附件：07、社会保障资金缴纳证明.docx</w:t>
      </w:r>
    </w:p>
    <w:p>
      <w:pPr>
        <w:pStyle w:val="null3"/>
        <w:ind w:firstLine="960"/>
      </w:pPr>
      <w:r>
        <w:rPr>
          <w:rFonts w:ascii="仿宋_GB2312" w:hAnsi="仿宋_GB2312" w:cs="仿宋_GB2312" w:eastAsia="仿宋_GB2312"/>
        </w:rPr>
        <w:t>详见附件：08、没有重大违法记录的书面说明.docx</w:t>
      </w:r>
    </w:p>
    <w:p>
      <w:pPr>
        <w:pStyle w:val="null3"/>
        <w:ind w:firstLine="960"/>
      </w:pPr>
      <w:r>
        <w:rPr>
          <w:rFonts w:ascii="仿宋_GB2312" w:hAnsi="仿宋_GB2312" w:cs="仿宋_GB2312" w:eastAsia="仿宋_GB2312"/>
        </w:rPr>
        <w:t>详见附件：09、合同履约能力.docx</w:t>
      </w:r>
    </w:p>
    <w:p>
      <w:pPr>
        <w:pStyle w:val="null3"/>
        <w:ind w:firstLine="960"/>
      </w:pPr>
      <w:r>
        <w:rPr>
          <w:rFonts w:ascii="仿宋_GB2312" w:hAnsi="仿宋_GB2312" w:cs="仿宋_GB2312" w:eastAsia="仿宋_GB2312"/>
        </w:rPr>
        <w:t>详见附件：10、信用中国网、中国执行公开网、中国政府采购网查询情况.docx</w:t>
      </w:r>
    </w:p>
    <w:p>
      <w:pPr>
        <w:pStyle w:val="null3"/>
        <w:ind w:firstLine="960"/>
      </w:pPr>
      <w:r>
        <w:rPr>
          <w:rFonts w:ascii="仿宋_GB2312" w:hAnsi="仿宋_GB2312" w:cs="仿宋_GB2312" w:eastAsia="仿宋_GB2312"/>
        </w:rPr>
        <w:t>详见附件：11、供应商关系关联情况.docx</w:t>
      </w:r>
    </w:p>
    <w:p>
      <w:pPr>
        <w:pStyle w:val="null3"/>
        <w:ind w:firstLine="960"/>
      </w:pPr>
      <w:r>
        <w:rPr>
          <w:rFonts w:ascii="仿宋_GB2312" w:hAnsi="仿宋_GB2312" w:cs="仿宋_GB2312" w:eastAsia="仿宋_GB2312"/>
        </w:rPr>
        <w:t>详见附件：12、商务部分.docx</w:t>
      </w:r>
    </w:p>
    <w:p>
      <w:pPr>
        <w:pStyle w:val="null3"/>
        <w:ind w:firstLine="960"/>
      </w:pPr>
      <w:r>
        <w:rPr>
          <w:rFonts w:ascii="仿宋_GB2312" w:hAnsi="仿宋_GB2312" w:cs="仿宋_GB2312" w:eastAsia="仿宋_GB2312"/>
        </w:rPr>
        <w:t>详见附件：13、技术部分.docx</w:t>
      </w:r>
    </w:p>
    <w:p>
      <w:pPr>
        <w:pStyle w:val="null3"/>
        <w:ind w:firstLine="960"/>
      </w:pPr>
      <w:r>
        <w:rPr>
          <w:rFonts w:ascii="仿宋_GB2312" w:hAnsi="仿宋_GB2312" w:cs="仿宋_GB2312" w:eastAsia="仿宋_GB2312"/>
        </w:rPr>
        <w:t>详见附件：14、供应商应提供健全的财务会计制度的证明材料.docx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