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版本号：ZCSP-渭南市-2025-0084520251127001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渭南市临渭区机动车尾气检测项目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ZCSP-渭南市-2025-00845</w:t>
      </w:r>
      <w:r>
        <w:br/>
      </w:r>
      <w:r>
        <w:br/>
      </w:r>
      <w:r>
        <w:br/>
      </w:r>
    </w:p>
    <w:p>
      <w:pPr>
        <w:pStyle w:val="null3"/>
        <w:jc w:val="center"/>
        <w:outlineLvl w:val="2"/>
      </w:pPr>
      <w:r>
        <w:rPr>
          <w:rFonts w:ascii="仿宋_GB2312" w:hAnsi="仿宋_GB2312" w:cs="仿宋_GB2312" w:eastAsia="仿宋_GB2312"/>
          <w:sz w:val="28"/>
          <w:b/>
        </w:rPr>
        <w:t>渭南市生态环境局临渭分局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渭南市生态环境局临渭分局</w:t>
      </w:r>
      <w:r>
        <w:rPr>
          <w:rFonts w:ascii="仿宋_GB2312" w:hAnsi="仿宋_GB2312" w:cs="仿宋_GB2312" w:eastAsia="仿宋_GB2312"/>
        </w:rPr>
        <w:t>委托，拟对</w:t>
      </w:r>
      <w:r>
        <w:rPr>
          <w:rFonts w:ascii="仿宋_GB2312" w:hAnsi="仿宋_GB2312" w:cs="仿宋_GB2312" w:eastAsia="仿宋_GB2312"/>
        </w:rPr>
        <w:t>渭南市临渭区机动车尾气检测项目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渭南市临渭区机动车尾气检测项目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对临渭区机动车尾气路检提供检测服务及相关人员用餐保障等。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采购包1（渭南市临渭区机动车尾气检测项目）：属于专门面向中小企业采购。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1、企业资质：供应商须具有CMA检验检测机构资质认定证书，且证书附表涵盖本项目检测内容（汽车污染物排放检验）；</w:t>
      </w:r>
    </w:p>
    <w:p>
      <w:pPr>
        <w:pStyle w:val="null3"/>
      </w:pPr>
      <w:r>
        <w:rPr>
          <w:rFonts w:ascii="仿宋_GB2312" w:hAnsi="仿宋_GB2312" w:cs="仿宋_GB2312" w:eastAsia="仿宋_GB2312"/>
        </w:rPr>
        <w:t>2、法定代表人身份证明书/法定代表人授权书：法定代表人参与磋商时需提供法定代表人身份证明书；被授权人参与磋商时需提供法定代表人授权书；</w:t>
      </w:r>
    </w:p>
    <w:p>
      <w:pPr>
        <w:pStyle w:val="null3"/>
      </w:pPr>
      <w:r>
        <w:rPr>
          <w:rFonts w:ascii="仿宋_GB2312" w:hAnsi="仿宋_GB2312" w:cs="仿宋_GB2312" w:eastAsia="仿宋_GB2312"/>
        </w:rPr>
        <w:t>3、磋商保证金交纳凭证：磋商保证金交纳凭证；</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中列入政府采购严重违法失信行为记录名单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渭南市生态环境局临渭分局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临渭区老城街农园路4号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0913-3035508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渭南市生态环境局临渭分局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渭南市生态环境局临渭分局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渭南市生态环境局临渭分局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对临渭区机动车尾气路检提供检测服务及相关人员用餐保障等。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372,000.00</w:t>
      </w:r>
    </w:p>
    <w:p>
      <w:pPr>
        <w:pStyle w:val="null3"/>
      </w:pPr>
      <w:r>
        <w:rPr>
          <w:rFonts w:ascii="仿宋_GB2312" w:hAnsi="仿宋_GB2312" w:cs="仿宋_GB2312" w:eastAsia="仿宋_GB2312"/>
        </w:rPr>
        <w:t>采购包最高限价（元）: 372,000.00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渭南市临渭区机动车尾气检测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标的名称：渭南市临渭区机动车尾气检测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rPr>
              <w:t>1、项目概况：按照省、市关于做好大气污染治理工作要求，在城区设置三处路检点位，每天联合交警等部门开展机动车尾气路检工作。</w:t>
            </w:r>
          </w:p>
          <w:p>
            <w:pPr>
              <w:pStyle w:val="null3"/>
              <w:ind w:firstLine="643"/>
              <w:jc w:val="both"/>
            </w:pPr>
            <w:r>
              <w:rPr>
                <w:rFonts w:ascii="仿宋_GB2312" w:hAnsi="仿宋_GB2312" w:cs="仿宋_GB2312" w:eastAsia="仿宋_GB2312"/>
              </w:rPr>
              <w:t>2、服务内容：每天配合开展机动车尾气路检工作；每月抽检车辆不少于150辆；负责3处执勤点位环保、交警共11名工作人员的每日夜间加班就餐保障。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rPr>
              <w:t>1、人员要求：至少委派3名检测人员，需持证上岗。</w:t>
            </w:r>
          </w:p>
          <w:p>
            <w:pPr>
              <w:pStyle w:val="null3"/>
              <w:ind w:firstLine="643"/>
              <w:jc w:val="both"/>
            </w:pPr>
            <w:r>
              <w:rPr>
                <w:rFonts w:ascii="仿宋_GB2312" w:hAnsi="仿宋_GB2312" w:cs="仿宋_GB2312" w:eastAsia="仿宋_GB2312"/>
              </w:rPr>
              <w:t>2、配备设备要求：</w:t>
            </w:r>
          </w:p>
          <w:p>
            <w:pPr>
              <w:pStyle w:val="null3"/>
              <w:ind w:firstLine="643"/>
              <w:jc w:val="both"/>
            </w:pPr>
            <w:r>
              <w:rPr>
                <w:rFonts w:ascii="仿宋_GB2312" w:hAnsi="仿宋_GB2312" w:cs="仿宋_GB2312" w:eastAsia="仿宋_GB2312"/>
              </w:rPr>
              <w:t>（1）至少配备尾气分析仪、不透光度计、OBD检测仪、气象仪各1台；设备须经计量部门检定且在检定有效期内；</w:t>
            </w:r>
          </w:p>
          <w:p>
            <w:pPr>
              <w:pStyle w:val="null3"/>
              <w:ind w:firstLine="643"/>
              <w:jc w:val="both"/>
            </w:pPr>
            <w:r>
              <w:rPr>
                <w:rFonts w:ascii="仿宋_GB2312" w:hAnsi="仿宋_GB2312" w:cs="仿宋_GB2312" w:eastAsia="仿宋_GB2312"/>
              </w:rPr>
              <w:t>（2）配备专用车1辆。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643"/>
              <w:jc w:val="both"/>
            </w:pPr>
            <w:r>
              <w:rPr>
                <w:rFonts w:ascii="仿宋_GB2312" w:hAnsi="仿宋_GB2312" w:cs="仿宋_GB2312" w:eastAsia="仿宋_GB2312"/>
              </w:rPr>
              <w:t>其他服务要求：</w:t>
            </w:r>
          </w:p>
          <w:p>
            <w:pPr>
              <w:pStyle w:val="null3"/>
              <w:ind w:firstLine="643"/>
              <w:jc w:val="both"/>
            </w:pPr>
            <w:r>
              <w:rPr>
                <w:rFonts w:ascii="仿宋_GB2312" w:hAnsi="仿宋_GB2312" w:cs="仿宋_GB2312" w:eastAsia="仿宋_GB2312"/>
              </w:rPr>
              <w:t>（1）能够提供对被检车辆驾驶人讲解机动车尾气污染检测相关知识并解答相关问题等服务；</w:t>
            </w:r>
          </w:p>
          <w:p>
            <w:pPr>
              <w:pStyle w:val="null3"/>
              <w:ind w:firstLine="643"/>
              <w:jc w:val="both"/>
            </w:pPr>
            <w:r>
              <w:rPr>
                <w:rFonts w:ascii="仿宋_GB2312" w:hAnsi="仿宋_GB2312" w:cs="仿宋_GB2312" w:eastAsia="仿宋_GB2312"/>
              </w:rPr>
              <w:t>（2）能对被检车辆出具具有法律效力的检测报告；</w:t>
            </w:r>
          </w:p>
          <w:p>
            <w:pPr>
              <w:pStyle w:val="null3"/>
              <w:ind w:firstLine="643"/>
              <w:jc w:val="both"/>
            </w:pPr>
            <w:r>
              <w:rPr>
                <w:rFonts w:ascii="仿宋_GB2312" w:hAnsi="仿宋_GB2312" w:cs="仿宋_GB2312" w:eastAsia="仿宋_GB2312"/>
              </w:rPr>
              <w:t>（3）检测机构服务人员对其检测行为及检测结果承担法律责任。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1、供应商精心组织人员培训，保证检测结果的真实性和准确性； 2、检测规范操作，达到国家与行业规范规定的标准要求； 3、提交检测记录及相应报告，并承担相应责任。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服务期满半年后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供应商完成全部项目内容且验收合格后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1.合同双方必须遵守本合同并执行合同中的各项规定，保证本合同的正常履行。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3.双方在执行合同中所发生的一切争议，应通过协商解决。如协商不成，可向采购人所在地法院起诉。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关于印发中小企业划型标准规定的通知（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供应商须提供合法有效，具有独立承担民事责任能力的证明资料；</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采购文件格式要求出具承诺函（详见附件1），成交供应商的承诺函同成交结果一并公示。</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供应商须具有CMA检验检测机构资质认定证书，且证书附表涵盖本项目检测内容（汽车污染物排放检验）；</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法定代表人参与磋商时需提供法定代表人身份证明书；被授权人参与磋商时需提供法定代表人授权书；</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供应商不得为“信用中国”网站（www.creditchina.gov.cn）中列入失信被执行人和重大税收违法失信主体的供应商，不得为中国政府采购网（www.ccgp.gov.cn）中列入政府采购严重违法失信行为记录名单的供应商。</w:t>
            </w:r>
          </w:p>
        </w:tc>
        <w:tc>
          <w:tcPr>
            <w:tcW w:type="dxa" w:w="1661"/>
          </w:tcPr>
          <w:p>
            <w:pPr>
              <w:pStyle w:val="null3"/>
            </w:pPr>
            <w:r>
              <w:rPr>
                <w:rFonts w:ascii="仿宋_GB2312" w:hAnsi="仿宋_GB2312" w:cs="仿宋_GB2312" w:eastAsia="仿宋_GB2312"/>
              </w:rPr>
              <w:t>特定资格要求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特定资格要求 响应文件封面 政府采购供应商拒绝政府采购领域商业贿赂承诺书 残疾人福利性单位声明函 政府采购二十二条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服务内容及服务邀请应答表 中小企业声明函 商务应答表 报价表 特定资格要求 响应文件封面 政府采购供应商拒绝政府采购领域商业贿赂承诺书 残疾人福利性单位声明函 政府采购二十二条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（1）项目需求理解； （2）项目整体管理方案； （3）进度计划及保障措施。 （二）评审标准： （1）每项评审内容完整无缺陷得4分；未提供得0分；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（1）路检服务方案； （2）就餐保障方案； （3）服务团队管理方案； （4）服务团队职责分配计划。 （二）评审标准： （1）每项评审内容完整无缺陷得4分；未提供得0分；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服务承诺及质量保障</w:t>
            </w:r>
          </w:p>
        </w:tc>
        <w:tc>
          <w:tcPr>
            <w:tcW w:type="dxa" w:w="2492"/>
          </w:tcPr>
          <w:p>
            <w:pPr>
              <w:pStyle w:val="null3"/>
            </w:pPr>
            <w:r>
              <w:rPr>
                <w:rFonts w:ascii="仿宋_GB2312" w:hAnsi="仿宋_GB2312" w:cs="仿宋_GB2312" w:eastAsia="仿宋_GB2312"/>
              </w:rPr>
              <w:t>（一）评审内容： （1）提供服务承诺，严格按照国家、行业标准进行服务，配合采购人进行质量管理、验收、必要的后期配合等工作，及时响应本服务中采购人所需的协助需求等； （2）服务质量保障措施。 （二）评审标准： （1）每项评审内容完整无缺陷得4分；未提供得0分；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资料管理及保密措施</w:t>
            </w:r>
          </w:p>
        </w:tc>
        <w:tc>
          <w:tcPr>
            <w:tcW w:type="dxa" w:w="2492"/>
          </w:tcPr>
          <w:p>
            <w:pPr>
              <w:pStyle w:val="null3"/>
            </w:pPr>
            <w:r>
              <w:rPr>
                <w:rFonts w:ascii="仿宋_GB2312" w:hAnsi="仿宋_GB2312" w:cs="仿宋_GB2312" w:eastAsia="仿宋_GB2312"/>
              </w:rPr>
              <w:t>（一）评审内容： （1）资料管理方案； （2）保密措施； （3）工作流程安排及实施细则。 （二）评审标准： （1）每项评审内容完整无缺陷得4分；未提供得0分；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（1）紧急或突发情况的应急保障方案； （2）应急人员安排计划； （3）应急设施设备安排计划。 （二）评审标准： （1）每项评审内容完整无缺陷得4分；未提供得0分；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针对本项目提出合理化建议，每提出一项有利于本项目实施的合理化建议得1分，本项最高得3分。未提供得0分。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供应商近三年（2022年11月至今）具有类似项目业绩，每个计1分，最多计5分。(业绩时间以合同签订日期为准，供应商须提供合同扫描件)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（1）在满足项目人员需求的基础上，每多配备一名检测人员得1分，最多得3分。 （2）配备其他人员（检测人员除外），每配备一名得0.5分，最多得2分。 注：须提供相关证明材料，未提供得0分。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（1）在满足项目设备需求的基础上，每多配备一项车辆或检测设备得1分，最高得4分。 （2）配备其他服务所需设备（如：可移动电源、拍摄设备、打印机、路锥、车挡、折叠桌椅及相关耗材），每配备一项得0.5分，最高得3分。 注：须提供相关证明材料，未提供得0分。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满足磋商文件要求且最后报价最低的供应商价格为磋商基准价得20分； 其他供应商的价格分按下列公式计算：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详见附件：政府采购二十二条</w:t>
      </w:r>
    </w:p>
    <w:p>
      <w:pPr>
        <w:pStyle w:val="null3"/>
        <w:ind w:firstLine="960"/>
      </w:pPr>
      <w:r>
        <w:rPr>
          <w:rFonts w:ascii="仿宋_GB2312" w:hAnsi="仿宋_GB2312" w:cs="仿宋_GB2312" w:eastAsia="仿宋_GB2312"/>
        </w:rPr>
        <w:t>详见附件：特定资格要求</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详见附件：7.合同文本.docx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