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版本号：ZCSP-渭南市-2025-0085120251128001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渭南市突发环境事件应急演练项目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ZCSP-渭南市-2025-00851</w:t>
      </w:r>
      <w:r>
        <w:br/>
      </w:r>
      <w:r>
        <w:br/>
      </w:r>
      <w:r>
        <w:br/>
      </w:r>
    </w:p>
    <w:p>
      <w:pPr>
        <w:pStyle w:val="null3"/>
        <w:jc w:val="center"/>
        <w:outlineLvl w:val="2"/>
      </w:pPr>
      <w:r>
        <w:rPr>
          <w:rFonts w:ascii="仿宋_GB2312" w:hAnsi="仿宋_GB2312" w:cs="仿宋_GB2312" w:eastAsia="仿宋_GB2312"/>
          <w:sz w:val="28"/>
          <w:b/>
        </w:rPr>
        <w:t>渭南市生态环境局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w:t>
      </w:r>
      <w:r>
        <w:rPr>
          <w:rFonts w:ascii="仿宋_GB2312" w:hAnsi="仿宋_GB2312" w:cs="仿宋_GB2312" w:eastAsia="仿宋_GB2312"/>
        </w:rPr>
        <w:t>委托，拟对</w:t>
      </w:r>
      <w:r>
        <w:rPr>
          <w:rFonts w:ascii="仿宋_GB2312" w:hAnsi="仿宋_GB2312" w:cs="仿宋_GB2312" w:eastAsia="仿宋_GB2312"/>
        </w:rPr>
        <w:t>渭南市突发环境事件应急演练项目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渭南市突发环境事件应急演练项目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2025年全省环境应急管理工作要点要求，特举办渭南市2025突发环境事件应急演练。为确保达到本次演练目的，需要开展充分、细致、全面的工作，时间紧，任务重。鉴于此，需要聘请承办过突发环境事件应急演练项目且经验丰富、实力强大的专业技术团队开展此项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采购包1（渭南市突发环境事件应急演练项目）：属于专门面向中小企业采购。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和在本单位的社会保障资金缴纳证明。 （3）财务状况报告：供应商提供2024年度经审计的财务报告（成立时间至提交响应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临渭区朝阳大街西段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0913-2158365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西安市曲江新区雁南五路曲江影视大厦 19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17795675528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代理服务费收费标准：参照“国家计委关于印发《招标代理服务费管理暂行办法的通知》（计价格[2002]1980号）”规定收费标准收取，服务费由中标（成交）供应商向受托人支付。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GY 中华人民共和国广播电影电视行业标准 GY/T —版、满足国家相关标准要求及采购要求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联系人：李娜</w:t>
      </w:r>
    </w:p>
    <w:p>
      <w:pPr>
        <w:pStyle w:val="null3"/>
      </w:pPr>
      <w:r>
        <w:rPr>
          <w:rFonts w:ascii="仿宋_GB2312" w:hAnsi="仿宋_GB2312" w:cs="仿宋_GB2312" w:eastAsia="仿宋_GB2312"/>
        </w:rPr>
        <w:t>联系电话：17795675528</w:t>
      </w:r>
    </w:p>
    <w:p>
      <w:pPr>
        <w:pStyle w:val="null3"/>
      </w:pPr>
      <w:r>
        <w:rPr>
          <w:rFonts w:ascii="仿宋_GB2312" w:hAnsi="仿宋_GB2312" w:cs="仿宋_GB2312" w:eastAsia="仿宋_GB2312"/>
        </w:rPr>
        <w:t>地址：西安市曲江新区雁南五路曲江影视大厦 19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2025年全省环境应急管理工作要点要求，特举办渭南市2025突发环境事件应急演练。为确保达到本次演练目的，需要开展充分、细致、全面的工作，时间紧，任务重。鉴于此，需要聘请承办过突发环境事件应急演练项目且经验丰富、实力强大的专业技术团队开展此项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渭南市突发环境事件应急演练项目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标的名称：渭南市突发环境事件应急演练项目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color w:val="000000"/>
              </w:rPr>
              <w:t>一、基本要求</w:t>
            </w:r>
          </w:p>
          <w:p>
            <w:pPr>
              <w:pStyle w:val="null3"/>
              <w:ind w:firstLine="640"/>
              <w:jc w:val="left"/>
            </w:pPr>
            <w:r>
              <w:rPr>
                <w:rFonts w:ascii="仿宋_GB2312" w:hAnsi="仿宋_GB2312" w:cs="仿宋_GB2312" w:eastAsia="仿宋_GB2312"/>
                <w:sz w:val="32"/>
                <w:color w:val="000000"/>
              </w:rPr>
              <w:t>为提高应对突发环境事件的快速响应和处置能力，有效控制和减轻事件对公众和环境造成的危害，确保环境安全，维护社会稳定，力争将突发环境事件造成的损失控制在最小范围程度内</w:t>
            </w:r>
            <w:r>
              <w:rPr>
                <w:rFonts w:ascii="仿宋_GB2312" w:hAnsi="仿宋_GB2312" w:cs="仿宋_GB2312" w:eastAsia="仿宋_GB2312"/>
                <w:sz w:val="32"/>
                <w:color w:val="000000"/>
              </w:rPr>
              <w:t>。</w:t>
            </w:r>
            <w:r>
              <w:rPr>
                <w:rFonts w:ascii="仿宋_GB2312" w:hAnsi="仿宋_GB2312" w:cs="仿宋_GB2312" w:eastAsia="仿宋_GB2312"/>
                <w:sz w:val="32"/>
                <w:color w:val="000000"/>
              </w:rPr>
              <w:t>本次演练通过检验各级应急响应组织机构准备、调用、协调应急设施、装备、物资及技术资料的能力等方面，进一步提升完善各级应急联动机制；有效提升突发环境事件应对能力，确保突发环境事件后，能积极响应、快速应对、科学处置。展示先进应急装备在突发事件应对工作中的应用，以达到全面提升各级应急管理部门应急处置能力。</w:t>
            </w:r>
          </w:p>
          <w:p>
            <w:pPr>
              <w:pStyle w:val="null3"/>
              <w:ind w:firstLine="643"/>
              <w:jc w:val="left"/>
            </w:pPr>
            <w:r>
              <w:rPr>
                <w:rFonts w:ascii="仿宋_GB2312" w:hAnsi="仿宋_GB2312" w:cs="仿宋_GB2312" w:eastAsia="仿宋_GB2312"/>
                <w:sz w:val="32"/>
                <w:b/>
                <w:color w:val="000000"/>
              </w:rPr>
              <w:t>二、</w:t>
            </w:r>
            <w:r>
              <w:rPr>
                <w:rFonts w:ascii="仿宋_GB2312" w:hAnsi="仿宋_GB2312" w:cs="仿宋_GB2312" w:eastAsia="仿宋_GB2312"/>
                <w:sz w:val="32"/>
                <w:b/>
                <w:color w:val="000000"/>
              </w:rPr>
              <w:t>需执行的国家相关标准、行业标准、地方标准</w:t>
            </w:r>
          </w:p>
          <w:p>
            <w:pPr>
              <w:pStyle w:val="null3"/>
              <w:ind w:firstLine="640"/>
              <w:jc w:val="left"/>
            </w:pPr>
            <w:r>
              <w:rPr>
                <w:rFonts w:ascii="仿宋_GB2312" w:hAnsi="仿宋_GB2312" w:cs="仿宋_GB2312" w:eastAsia="仿宋_GB2312"/>
                <w:sz w:val="32"/>
                <w:color w:val="000000"/>
              </w:rPr>
              <w:t>GY 中华人民共和国广播电影电视行业标准 GY/T —版</w:t>
            </w:r>
          </w:p>
          <w:p>
            <w:pPr>
              <w:pStyle w:val="null3"/>
              <w:ind w:firstLine="640"/>
              <w:jc w:val="left"/>
            </w:pPr>
            <w:r>
              <w:rPr>
                <w:rFonts w:ascii="仿宋_GB2312" w:hAnsi="仿宋_GB2312" w:cs="仿宋_GB2312" w:eastAsia="仿宋_GB2312"/>
                <w:sz w:val="32"/>
                <w:color w:val="000000"/>
              </w:rPr>
              <w:t>满足国家相关标准要求及采购要求。</w:t>
            </w:r>
          </w:p>
          <w:p>
            <w:pPr>
              <w:pStyle w:val="null3"/>
              <w:ind w:firstLine="643"/>
              <w:jc w:val="left"/>
            </w:pPr>
            <w:r>
              <w:rPr>
                <w:rFonts w:ascii="仿宋_GB2312" w:hAnsi="仿宋_GB2312" w:cs="仿宋_GB2312" w:eastAsia="仿宋_GB2312"/>
                <w:sz w:val="32"/>
                <w:b/>
                <w:color w:val="000000"/>
              </w:rPr>
              <w:t>三、服务指标的具体要求</w:t>
            </w:r>
          </w:p>
          <w:p>
            <w:pPr>
              <w:pStyle w:val="null3"/>
              <w:ind w:firstLine="643"/>
              <w:jc w:val="left"/>
            </w:pPr>
            <w:r>
              <w:rPr>
                <w:rFonts w:ascii="仿宋_GB2312" w:hAnsi="仿宋_GB2312" w:cs="仿宋_GB2312" w:eastAsia="仿宋_GB2312"/>
                <w:sz w:val="32"/>
                <w:b/>
                <w:color w:val="000000"/>
              </w:rPr>
              <w:t>1.</w:t>
            </w:r>
            <w:r>
              <w:rPr>
                <w:rFonts w:ascii="仿宋_GB2312" w:hAnsi="仿宋_GB2312" w:cs="仿宋_GB2312" w:eastAsia="仿宋_GB2312"/>
                <w:sz w:val="32"/>
                <w:b/>
                <w:color w:val="000000"/>
              </w:rPr>
              <w:t>技术服务</w:t>
            </w:r>
          </w:p>
          <w:p>
            <w:pPr>
              <w:pStyle w:val="null3"/>
              <w:ind w:firstLine="640"/>
              <w:jc w:val="left"/>
            </w:pPr>
            <w:r>
              <w:rPr>
                <w:rFonts w:ascii="仿宋_GB2312" w:hAnsi="仿宋_GB2312" w:cs="仿宋_GB2312" w:eastAsia="仿宋_GB2312"/>
                <w:sz w:val="32"/>
                <w:color w:val="000000"/>
              </w:rPr>
              <w:t>依据演练需求，精准分析演练表现方式、系统设计展示内容，在此基础上编制科学完备的应急演练方案及具有可操作性的演练脚本。</w:t>
            </w:r>
          </w:p>
          <w:p>
            <w:pPr>
              <w:pStyle w:val="null3"/>
              <w:ind w:firstLine="643"/>
              <w:jc w:val="left"/>
            </w:pPr>
            <w:r>
              <w:rPr>
                <w:rFonts w:ascii="仿宋_GB2312" w:hAnsi="仿宋_GB2312" w:cs="仿宋_GB2312" w:eastAsia="仿宋_GB2312"/>
                <w:sz w:val="32"/>
                <w:b/>
                <w:color w:val="000000"/>
              </w:rPr>
              <w:t>2.场地布置</w:t>
            </w:r>
          </w:p>
          <w:p>
            <w:pPr>
              <w:pStyle w:val="null3"/>
              <w:ind w:firstLine="640"/>
              <w:jc w:val="left"/>
            </w:pPr>
            <w:r>
              <w:rPr>
                <w:rFonts w:ascii="仿宋_GB2312" w:hAnsi="仿宋_GB2312" w:cs="仿宋_GB2312" w:eastAsia="仿宋_GB2312"/>
                <w:sz w:val="32"/>
                <w:color w:val="000000"/>
              </w:rPr>
              <w:t>依据演练实际需求，统筹推进场地规范化布置与氛围营造，重点完成主席台、观摩区搭建及全流程设备保障，涵盖主背景及喷绘、主席台配套设施（地毯、贵宾桌椅、桌签）、观摩席桌椅、</w:t>
            </w:r>
            <w:r>
              <w:rPr>
                <w:rFonts w:ascii="仿宋_GB2312" w:hAnsi="仿宋_GB2312" w:cs="仿宋_GB2312" w:eastAsia="仿宋_GB2312"/>
                <w:sz w:val="32"/>
                <w:color w:val="000000"/>
              </w:rPr>
              <w:t>LED大屏及固定器、音响系统、话筒耳麦、不锈钢立牌、袖标等，确保场地完全符合演练标准。</w:t>
            </w:r>
          </w:p>
          <w:p>
            <w:pPr>
              <w:pStyle w:val="null3"/>
              <w:ind w:firstLine="643"/>
              <w:jc w:val="left"/>
            </w:pPr>
            <w:r>
              <w:rPr>
                <w:rFonts w:ascii="仿宋_GB2312" w:hAnsi="仿宋_GB2312" w:cs="仿宋_GB2312" w:eastAsia="仿宋_GB2312"/>
                <w:sz w:val="32"/>
                <w:b/>
                <w:color w:val="000000"/>
              </w:rPr>
              <w:t>3.视频拍摄</w:t>
            </w:r>
          </w:p>
          <w:p>
            <w:pPr>
              <w:pStyle w:val="null3"/>
              <w:ind w:firstLine="640"/>
              <w:jc w:val="left"/>
            </w:pPr>
            <w:r>
              <w:rPr>
                <w:rFonts w:ascii="仿宋_GB2312" w:hAnsi="仿宋_GB2312" w:cs="仿宋_GB2312" w:eastAsia="仿宋_GB2312"/>
                <w:sz w:val="32"/>
                <w:color w:val="000000"/>
              </w:rPr>
              <w:t>依据演练脚本要求，统筹推进应急演练前期视频采集、前期彩排及正演阶段的全流程摄像摄制任务。配置固定机位、游机机位及无人机实现多维度拍摄，由导演统筹调度，导播人员操控导播台保障技术支撑，完成后期视频剪辑与合成工作。</w:t>
            </w:r>
          </w:p>
          <w:p>
            <w:pPr>
              <w:pStyle w:val="null3"/>
              <w:ind w:firstLine="643"/>
              <w:jc w:val="left"/>
            </w:pPr>
            <w:r>
              <w:rPr>
                <w:rFonts w:ascii="仿宋_GB2312" w:hAnsi="仿宋_GB2312" w:cs="仿宋_GB2312" w:eastAsia="仿宋_GB2312"/>
                <w:sz w:val="32"/>
                <w:b/>
                <w:color w:val="000000"/>
              </w:rPr>
              <w:t>4.演练保障</w:t>
            </w:r>
          </w:p>
          <w:p>
            <w:pPr>
              <w:pStyle w:val="null3"/>
              <w:ind w:firstLine="640"/>
              <w:jc w:val="left"/>
            </w:pPr>
            <w:r>
              <w:rPr>
                <w:rFonts w:ascii="仿宋_GB2312" w:hAnsi="仿宋_GB2312" w:cs="仿宋_GB2312" w:eastAsia="仿宋_GB2312"/>
                <w:sz w:val="32"/>
                <w:color w:val="000000"/>
              </w:rPr>
              <w:t>围绕演练实施全流程，强化现场解说、应急专家及组织策划人员的全方位保障。确保解说精准传讯，专家提供专业支撑研判，组织策划人员统筹推进演练有序实施。</w:t>
            </w:r>
          </w:p>
          <w:p>
            <w:pPr>
              <w:pStyle w:val="null3"/>
              <w:ind w:firstLine="640"/>
              <w:jc w:val="left"/>
            </w:pPr>
            <w:r>
              <w:rPr>
                <w:rFonts w:ascii="仿宋_GB2312" w:hAnsi="仿宋_GB2312" w:cs="仿宋_GB2312" w:eastAsia="仿宋_GB2312"/>
                <w:sz w:val="32"/>
                <w:color w:val="000000"/>
              </w:rPr>
              <w:t>5.成果文件</w:t>
            </w:r>
          </w:p>
          <w:p>
            <w:pPr>
              <w:pStyle w:val="null3"/>
              <w:jc w:val="left"/>
            </w:pPr>
            <w:r>
              <w:rPr>
                <w:rFonts w:ascii="仿宋_GB2312" w:hAnsi="仿宋_GB2312" w:cs="仿宋_GB2312" w:eastAsia="仿宋_GB2312"/>
                <w:sz w:val="32"/>
                <w:color w:val="000000"/>
              </w:rPr>
              <w:t xml:space="preserve">   电子版成果文件</w:t>
            </w:r>
            <w:r>
              <w:rPr>
                <w:rFonts w:ascii="仿宋_GB2312" w:hAnsi="仿宋_GB2312" w:cs="仿宋_GB2312" w:eastAsia="仿宋_GB2312"/>
                <w:sz w:val="32"/>
                <w:color w:val="000000"/>
              </w:rPr>
              <w:t>4份。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组成验收组按照合同约定和有关要求进行验收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服务商未按要求提供服务，采购人会同集中采购机构有权终止合同和对服务商的违约行为进行追究，同时按《政府采购法》有关处罚条款报监管机构进行相应的处罚。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成交供应商在结果公示结束后3个工作日内向代理机构后提交3份纸质版响应文件。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和在本单位的社会保障资金缴纳证明。 （3）财务状况报告：供应商提供2024年度经审计的财务报告（成立时间至提交响应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（11）本项目专门面向中小企业采购，供应商须提供《中小企业声明函》。</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中小企业声明函 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w:t>
            </w:r>
          </w:p>
        </w:tc>
        <w:tc>
          <w:tcPr>
            <w:tcW w:type="dxa" w:w="1661"/>
          </w:tcPr>
          <w:p>
            <w:pPr>
              <w:pStyle w:val="null3"/>
            </w:pPr>
            <w:r>
              <w:rPr>
                <w:rFonts w:ascii="仿宋_GB2312" w:hAnsi="仿宋_GB2312" w:cs="仿宋_GB2312" w:eastAsia="仿宋_GB2312"/>
              </w:rPr>
              <w:t>响应文件封面 中小企业声明函 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报价是否超过采购预算（或最高限价）；投标有效期是否符合采购文件的要求；是否满足采购文件的实质性要求。</w:t>
            </w:r>
          </w:p>
        </w:tc>
        <w:tc>
          <w:tcPr>
            <w:tcW w:type="dxa" w:w="1661"/>
          </w:tcPr>
          <w:p>
            <w:pPr>
              <w:pStyle w:val="null3"/>
            </w:pPr>
            <w:r>
              <w:rPr>
                <w:rFonts w:ascii="仿宋_GB2312" w:hAnsi="仿宋_GB2312" w:cs="仿宋_GB2312" w:eastAsia="仿宋_GB2312"/>
              </w:rPr>
              <w:t>响应文件封面 标的清单 响应文件（格式）.docx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w:t>
            </w:r>
          </w:p>
        </w:tc>
        <w:tc>
          <w:tcPr>
            <w:tcW w:type="dxa" w:w="2492"/>
          </w:tcPr>
          <w:p>
            <w:pPr>
              <w:pStyle w:val="null3"/>
            </w:pPr>
            <w:r>
              <w:rPr>
                <w:rFonts w:ascii="仿宋_GB2312" w:hAnsi="仿宋_GB2312" w:cs="仿宋_GB2312" w:eastAsia="仿宋_GB2312"/>
              </w:rPr>
              <w:t>针对本项目的①服务需求、②服务目标、③服务原则、④服务项目的理解，分别进行阐述，每项3分：以上内容完整齐全、科学合理、符合采购需求的得12分；每缺少一项方案内容扣3分，每有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的服务方案：①工作组织方案、②内部管理制度、③组织协调方案、④项目管理服务目标、⑤职业道德与保密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①进度措施、②服务质量保证措施、③安全保证措施、④成果保证措施、⑤后续服务保证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对本工作的①重点分析、②难点分析、③解决措施。每项3分：以上分析内容全面合理、完整详实、叙述清楚、节点明确符合实际得9分，每缺一项扣3分，每有一项内容存在缺陷的扣1分，扣完为止。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①应急预案内容、②应急事项的处理流程方法、③日常预防机制等。每项3分：内容全面、编制科学、具体，处理流程方法详细、可行，能充分满足项目实施过程中的应急需要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各项服务承诺</w:t>
            </w:r>
          </w:p>
        </w:tc>
        <w:tc>
          <w:tcPr>
            <w:tcW w:type="dxa" w:w="2492"/>
          </w:tcPr>
          <w:p>
            <w:pPr>
              <w:pStyle w:val="null3"/>
            </w:pPr>
            <w:r>
              <w:rPr>
                <w:rFonts w:ascii="仿宋_GB2312" w:hAnsi="仿宋_GB2312" w:cs="仿宋_GB2312" w:eastAsia="仿宋_GB2312"/>
              </w:rPr>
              <w:t>向采购人提供的各项服务承诺：①响应时间、②人员配备、③设施设备、④成果制作的说明，每项3分：以上内容详细完善、切实可行，能充分考虑到采购人的需求的得12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合理化的建议</w:t>
            </w:r>
          </w:p>
        </w:tc>
        <w:tc>
          <w:tcPr>
            <w:tcW w:type="dxa" w:w="2492"/>
          </w:tcPr>
          <w:p>
            <w:pPr>
              <w:pStyle w:val="null3"/>
            </w:pPr>
            <w:r>
              <w:rPr>
                <w:rFonts w:ascii="仿宋_GB2312" w:hAnsi="仿宋_GB2312" w:cs="仿宋_GB2312" w:eastAsia="仿宋_GB2312"/>
              </w:rPr>
              <w:t>针对本项目实施过程中或后续服务方面提出合理化的建议。建议明确、合理、可行得3分；建议一般，得1.5分，未提供不得分。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投标人近年（2022年1月1日至今）已完成类似项目业绩，每提供一个业绩得1分，满分5分，以加盖公章的合同和中标通知书复印件为准。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1.经初审合格的响应文件，其最终磋商报价为有效报价，并进行价格评审。 2.满足磋商文件实质性要求且最终报价最低的供应商的价格为评标基准价，其价格分为满分20分。 3.报价得分=（评标基准价/投标报价）×20的公式计算得分。 4.报价不完整的，不进入评标基准价的计算，本项得0分。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