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版本号：ZCSP-渭南市-2025-00798、DLCG2025-07920251103001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渭南市网格化环境监管平台优化提升改造项目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ZCSP-渭南市-2025-00798、DLCG2025-079</w:t>
      </w:r>
      <w:r>
        <w:br/>
      </w:r>
      <w:r>
        <w:br/>
      </w:r>
      <w:r>
        <w:br/>
      </w:r>
    </w:p>
    <w:p>
      <w:pPr>
        <w:pStyle w:val="null3"/>
        <w:jc w:val="center"/>
        <w:outlineLvl w:val="2"/>
      </w:pPr>
      <w:r>
        <w:rPr>
          <w:rFonts w:ascii="仿宋_GB2312" w:hAnsi="仿宋_GB2312" w:cs="仿宋_GB2312" w:eastAsia="仿宋_GB2312"/>
          <w:sz w:val="28"/>
          <w:b/>
        </w:rPr>
        <w:t>渭南市数据服务中心</w:t>
      </w:r>
    </w:p>
    <w:p>
      <w:pPr>
        <w:pStyle w:val="null3"/>
        <w:jc w:val="center"/>
        <w:outlineLvl w:val="2"/>
      </w:pPr>
      <w:r>
        <w:rPr>
          <w:rFonts w:ascii="仿宋_GB2312" w:hAnsi="仿宋_GB2312" w:cs="仿宋_GB2312" w:eastAsia="仿宋_GB2312"/>
          <w:sz w:val="28"/>
          <w:b/>
        </w:rPr>
        <w:t>陕西鼎力中创项目管理有限公司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陕西鼎力中创项目管理有限公司</w:t>
      </w:r>
      <w:r>
        <w:rPr>
          <w:rFonts w:ascii="仿宋_GB2312" w:hAnsi="仿宋_GB2312" w:cs="仿宋_GB2312" w:eastAsia="仿宋_GB2312"/>
        </w:rPr>
        <w:t>（以下简称“代理机构”）受</w:t>
      </w:r>
      <w:r>
        <w:rPr>
          <w:rFonts w:ascii="仿宋_GB2312" w:hAnsi="仿宋_GB2312" w:cs="仿宋_GB2312" w:eastAsia="仿宋_GB2312"/>
        </w:rPr>
        <w:t>渭南市数据服务中心</w:t>
      </w:r>
      <w:r>
        <w:rPr>
          <w:rFonts w:ascii="仿宋_GB2312" w:hAnsi="仿宋_GB2312" w:cs="仿宋_GB2312" w:eastAsia="仿宋_GB2312"/>
        </w:rPr>
        <w:t>委托，拟对</w:t>
      </w:r>
      <w:r>
        <w:rPr>
          <w:rFonts w:ascii="仿宋_GB2312" w:hAnsi="仿宋_GB2312" w:cs="仿宋_GB2312" w:eastAsia="仿宋_GB2312"/>
        </w:rPr>
        <w:t>渭南市网格化环境监管平台优化提升改造项目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ZCSP-渭南市-2025-00798、DLCG2025-079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渭南市网格化环境监管平台优化提升改造项目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渭南市网格化环境监管平台优化提升改造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pPr>
      <w:r>
        <w:rPr>
          <w:rFonts w:ascii="仿宋_GB2312" w:hAnsi="仿宋_GB2312" w:cs="仿宋_GB2312" w:eastAsia="仿宋_GB2312"/>
        </w:rPr>
        <w:t>2、信用信息：供应商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3、无控股承诺：单位负责人为同一人或者存在直接控股、管理关系的不同供应商，不得参加同一合同项下的政府采购活动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渭南市临渭区车雷大街69号市民综合服务中心西配楼1楼西侧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0913-2930456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陕西鼎力中创项目管理有限公司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陕西省渭南市临渭区乐天大街碧桂园翡翠公馆北门11栋商铺2层208号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0913-2185335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开户名称：陕西鼎力中创项目管理有限公司</w:t>
            </w:r>
          </w:p>
          <w:p>
            <w:pPr>
              <w:pStyle w:val="null3"/>
            </w:pPr>
            <w:r>
              <w:rPr>
                <w:rFonts w:ascii="仿宋_GB2312" w:hAnsi="仿宋_GB2312" w:cs="仿宋_GB2312" w:eastAsia="仿宋_GB2312"/>
              </w:rPr>
              <w:t>开户银行：工行渭南仓程路支行</w:t>
            </w:r>
          </w:p>
          <w:p>
            <w:pPr>
              <w:pStyle w:val="null3"/>
            </w:pPr>
            <w:r>
              <w:rPr>
                <w:rFonts w:ascii="仿宋_GB2312" w:hAnsi="仿宋_GB2312" w:cs="仿宋_GB2312" w:eastAsia="仿宋_GB2312"/>
              </w:rPr>
              <w:t>银行账号：2605 0259 1910 0033 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渭南市数据服务中心</w:t>
      </w:r>
      <w:r>
        <w:rPr>
          <w:rFonts w:ascii="仿宋_GB2312" w:hAnsi="仿宋_GB2312" w:cs="仿宋_GB2312" w:eastAsia="仿宋_GB2312"/>
        </w:rPr>
        <w:t>和</w:t>
      </w:r>
      <w:r>
        <w:rPr>
          <w:rFonts w:ascii="仿宋_GB2312" w:hAnsi="仿宋_GB2312" w:cs="仿宋_GB2312" w:eastAsia="仿宋_GB2312"/>
        </w:rPr>
        <w:t>陕西鼎力中创项目管理有限公司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渭南市数据服务中心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陕西鼎力中创项目管理有限公司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陕西鼎力中创项目管理有限公司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完成系统试运行前的用户培训工作，开始系统试运行及迭代完善工作，提出初步验收申请，业主单位组织验收，满足设计要求，测试合格后，双方签署验收协议，完成初步验收，系统进入试运行阶段。 初验通过后，平台进入3个月试运行阶段，做好对系统的功能、性能、稳定性以及系统的运行效果等各项关键因素进行全面的监测与记录，对出现的问题及时处理并形成系统试运行记录。在试运行期满后组织做好试运行检验，根据检验和记录结果，写出系统试运行报告，做出系统试运行结论，并经甲乙双方签字确认。同时进行项目培训、文档整理等收尾工作。 在完成试运行工作内容后，提交全部相关文档、图纸、报告、代码，向验收小组提出系统最终验收（竣工验收）申请，终验通过后系统方可申请正式上线运行。 通过系统化测试，验证平台新增功能、优化升级模块及信创改造内容的功能完整性、性能稳定性、数据准确性、安全合规性及用户易用性，确保平台满足建设目标，即实现网格化环境监管精细化、高效化、规范化，支撑“寸寸土地有人管、件件污染有人查”的业务需求。 其他未尽事宜将按照《财政部关于进一步加强政府采购需求和履约验收管理的指导意见》(财库(2016) 205号)、《政府采购需求管理办法》(财库(2021) 22号)的要求及国家行业主管部门规定的标准、方法和内容进行验收。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联系人：杨希</w:t>
      </w:r>
    </w:p>
    <w:p>
      <w:pPr>
        <w:pStyle w:val="null3"/>
      </w:pPr>
      <w:r>
        <w:rPr>
          <w:rFonts w:ascii="仿宋_GB2312" w:hAnsi="仿宋_GB2312" w:cs="仿宋_GB2312" w:eastAsia="仿宋_GB2312"/>
        </w:rPr>
        <w:t>联系电话：0913-2185335</w:t>
      </w:r>
    </w:p>
    <w:p>
      <w:pPr>
        <w:pStyle w:val="null3"/>
      </w:pPr>
      <w:r>
        <w:rPr>
          <w:rFonts w:ascii="仿宋_GB2312" w:hAnsi="仿宋_GB2312" w:cs="仿宋_GB2312" w:eastAsia="仿宋_GB2312"/>
        </w:rPr>
        <w:t>地址：渭南市临渭区乐天大街碧桂园翡翠公馆北门11栋商铺2层208号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渭南市网格化环境监管平台优化提升改造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860,900.00</w:t>
      </w:r>
    </w:p>
    <w:p>
      <w:pPr>
        <w:pStyle w:val="null3"/>
      </w:pPr>
      <w:r>
        <w:rPr>
          <w:rFonts w:ascii="仿宋_GB2312" w:hAnsi="仿宋_GB2312" w:cs="仿宋_GB2312" w:eastAsia="仿宋_GB2312"/>
        </w:rPr>
        <w:t>采购包最高限价（元）: 860,900.00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渭南市网格化环境监管平台优化提升改造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标的名称：渭南市网格化环境监管平台优化提升改造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18"/>
              </w:rPr>
              <w:t>一、基本要求</w:t>
            </w:r>
          </w:p>
          <w:p>
            <w:pPr>
              <w:pStyle w:val="null3"/>
              <w:ind w:firstLine="560"/>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功能要求：</w:t>
            </w:r>
            <w:r>
              <w:rPr>
                <w:rFonts w:ascii="仿宋_GB2312" w:hAnsi="仿宋_GB2312" w:cs="仿宋_GB2312" w:eastAsia="仿宋_GB2312"/>
                <w:sz w:val="18"/>
              </w:rPr>
              <w:t>完成</w:t>
            </w:r>
            <w:r>
              <w:rPr>
                <w:rFonts w:ascii="仿宋_GB2312" w:hAnsi="仿宋_GB2312" w:cs="仿宋_GB2312" w:eastAsia="仿宋_GB2312"/>
                <w:sz w:val="18"/>
              </w:rPr>
              <w:t>渭南市网格化环境监管平台优化提升改造项目</w:t>
            </w:r>
            <w:r>
              <w:rPr>
                <w:rFonts w:ascii="仿宋_GB2312" w:hAnsi="仿宋_GB2312" w:cs="仿宋_GB2312" w:eastAsia="仿宋_GB2312"/>
                <w:sz w:val="18"/>
              </w:rPr>
              <w:t>全部内容。</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采购项目需要落实的政府采购政策：</w:t>
            </w:r>
          </w:p>
          <w:p>
            <w:pPr>
              <w:pStyle w:val="null3"/>
              <w:ind w:firstLine="480"/>
              <w:jc w:val="both"/>
            </w:pPr>
            <w:r>
              <w:rPr>
                <w:rFonts w:ascii="仿宋_GB2312" w:hAnsi="仿宋_GB2312" w:cs="仿宋_GB2312" w:eastAsia="仿宋_GB2312"/>
                <w:sz w:val="18"/>
                <w:shd w:fill="FFFFFF" w:val="clear"/>
              </w:rPr>
              <w:t>（1）《政府采购促进中小企业发展管理办法》（财库〔2020〕46号）；（2）《关于进一步加大政府采购支持中小企业力度的通知》（财库〔2022〕19号）；（3）《关于政府采购支持监狱企业发展有关问题的通知》（财库〔2014〕68号）；（4）《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关于深入开展政府采购脱贫地区农副产品工作推进乡村产业振兴的实施意见》（财库〔2021〕20号）；（10）《陕西省财政厅关于加快推进我省中小企业政府采购信用融资工作的通知》（陕财办采〔2020〕15号）；（11）《陕西省财政厅关于印发陕西省中小企业政府采购信用融资办法》（陕财办采〔2018〕23号）；（12）《陕西省财政厅关于进一步加强政府绿色采购有关问题的通知》（陕财办采〔2021〕29号）；（13）《商品包装政府采购需求标准（试行）》和《快递包装政府采购需求标准（试行）》（财办库〔2020〕123号）；（14）其他需要落实的政府采购政策。</w:t>
            </w:r>
          </w:p>
          <w:p>
            <w:pPr>
              <w:pStyle w:val="null3"/>
              <w:ind w:firstLine="560"/>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服务期限：60日历天内完成项目全部内容到达试运行，服务期3年</w:t>
            </w:r>
            <w:r>
              <w:rPr>
                <w:rFonts w:ascii="仿宋_GB2312" w:hAnsi="仿宋_GB2312" w:cs="仿宋_GB2312" w:eastAsia="仿宋_GB2312"/>
                <w:sz w:val="18"/>
              </w:rPr>
              <w:t>。</w:t>
            </w:r>
          </w:p>
          <w:p>
            <w:pPr>
              <w:pStyle w:val="null3"/>
              <w:ind w:firstLine="560"/>
              <w:jc w:val="both"/>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服务地点：</w:t>
            </w:r>
            <w:r>
              <w:rPr>
                <w:rFonts w:ascii="仿宋_GB2312" w:hAnsi="仿宋_GB2312" w:cs="仿宋_GB2312" w:eastAsia="仿宋_GB2312"/>
                <w:sz w:val="18"/>
              </w:rPr>
              <w:t>渭南市</w:t>
            </w:r>
          </w:p>
          <w:p>
            <w:pPr>
              <w:pStyle w:val="null3"/>
              <w:ind w:firstLine="560"/>
              <w:jc w:val="both"/>
            </w:pPr>
            <w:r>
              <w:rPr>
                <w:rFonts w:ascii="仿宋_GB2312" w:hAnsi="仿宋_GB2312" w:cs="仿宋_GB2312" w:eastAsia="仿宋_GB2312"/>
                <w:sz w:val="18"/>
              </w:rPr>
              <w:t>二、需执行的国家相关标准、行业标准、地方标准或者其他标准、规范标准</w:t>
            </w:r>
          </w:p>
          <w:p>
            <w:pPr>
              <w:pStyle w:val="null3"/>
              <w:numPr>
                <w:ilvl w:val="0"/>
                <w:numId w:val="1"/>
              </w:numPr>
              <w:jc w:val="both"/>
            </w:pPr>
            <w:r>
              <w:rPr>
                <w:rFonts w:ascii="仿宋_GB2312" w:hAnsi="仿宋_GB2312" w:cs="仿宋_GB2312" w:eastAsia="仿宋_GB2312"/>
                <w:sz w:val="18"/>
              </w:rPr>
              <w:t>《提升全省生态环境治理能力助推高质量发展的若干措施》（陕环发〔2019〕37号）</w:t>
            </w:r>
          </w:p>
          <w:p>
            <w:pPr>
              <w:pStyle w:val="null3"/>
              <w:numPr>
                <w:ilvl w:val="0"/>
                <w:numId w:val="1"/>
              </w:numPr>
              <w:jc w:val="both"/>
            </w:pPr>
            <w:r>
              <w:rPr>
                <w:rFonts w:ascii="仿宋_GB2312" w:hAnsi="仿宋_GB2312" w:cs="仿宋_GB2312" w:eastAsia="仿宋_GB2312"/>
                <w:sz w:val="18"/>
              </w:rPr>
              <w:t>《陕西省“十四五”生态环境保护规划》（陕政办发〔2021〕25号）</w:t>
            </w:r>
          </w:p>
          <w:p>
            <w:pPr>
              <w:pStyle w:val="null3"/>
              <w:numPr>
                <w:ilvl w:val="0"/>
                <w:numId w:val="1"/>
              </w:numPr>
              <w:jc w:val="both"/>
            </w:pPr>
            <w:r>
              <w:rPr>
                <w:rFonts w:ascii="仿宋_GB2312" w:hAnsi="仿宋_GB2312" w:cs="仿宋_GB2312" w:eastAsia="仿宋_GB2312"/>
                <w:sz w:val="18"/>
              </w:rPr>
              <w:t>《陕西省生态环境监测质量管理规定》（陕环发〔2021〕42号）</w:t>
            </w:r>
          </w:p>
          <w:p>
            <w:pPr>
              <w:pStyle w:val="null3"/>
              <w:numPr>
                <w:ilvl w:val="0"/>
                <w:numId w:val="1"/>
              </w:numPr>
              <w:jc w:val="both"/>
            </w:pPr>
            <w:r>
              <w:rPr>
                <w:rFonts w:ascii="仿宋_GB2312" w:hAnsi="仿宋_GB2312" w:cs="仿宋_GB2312" w:eastAsia="仿宋_GB2312"/>
                <w:sz w:val="18"/>
              </w:rPr>
              <w:t>《渭南市“三线一单”生态环境分区管控方案》（渭政发〔2021〕35号）</w:t>
            </w:r>
          </w:p>
          <w:p>
            <w:pPr>
              <w:pStyle w:val="null3"/>
              <w:numPr>
                <w:ilvl w:val="0"/>
                <w:numId w:val="1"/>
              </w:numPr>
              <w:jc w:val="both"/>
            </w:pPr>
            <w:r>
              <w:rPr>
                <w:rFonts w:ascii="仿宋_GB2312" w:hAnsi="仿宋_GB2312" w:cs="仿宋_GB2312" w:eastAsia="仿宋_GB2312"/>
                <w:sz w:val="18"/>
              </w:rPr>
              <w:t>《“十四五”推进国家政务信息化规划》（发改高技〔2021〕1898号）</w:t>
            </w:r>
          </w:p>
          <w:p>
            <w:pPr>
              <w:pStyle w:val="null3"/>
              <w:numPr>
                <w:ilvl w:val="0"/>
                <w:numId w:val="1"/>
              </w:numPr>
              <w:jc w:val="both"/>
            </w:pPr>
            <w:r>
              <w:rPr>
                <w:rFonts w:ascii="仿宋_GB2312" w:hAnsi="仿宋_GB2312" w:cs="仿宋_GB2312" w:eastAsia="仿宋_GB2312"/>
                <w:sz w:val="18"/>
              </w:rPr>
              <w:t>《“十四五”数字经济发展规划》（国发〔2021〕29号）</w:t>
            </w:r>
          </w:p>
          <w:p>
            <w:pPr>
              <w:pStyle w:val="null3"/>
              <w:numPr>
                <w:ilvl w:val="0"/>
                <w:numId w:val="1"/>
              </w:numPr>
              <w:jc w:val="both"/>
            </w:pPr>
            <w:r>
              <w:rPr>
                <w:rFonts w:ascii="仿宋_GB2312" w:hAnsi="仿宋_GB2312" w:cs="仿宋_GB2312" w:eastAsia="仿宋_GB2312"/>
                <w:sz w:val="18"/>
              </w:rPr>
              <w:t>《“十四五”公共服务规划》（发改社会〔2021〕1946号）</w:t>
            </w:r>
          </w:p>
          <w:p>
            <w:pPr>
              <w:pStyle w:val="null3"/>
              <w:numPr>
                <w:ilvl w:val="0"/>
                <w:numId w:val="1"/>
              </w:numPr>
              <w:jc w:val="both"/>
            </w:pPr>
            <w:r>
              <w:rPr>
                <w:rFonts w:ascii="仿宋_GB2312" w:hAnsi="仿宋_GB2312" w:cs="仿宋_GB2312" w:eastAsia="仿宋_GB2312"/>
                <w:sz w:val="18"/>
              </w:rPr>
              <w:t>《渭南市网格化环境监管工作实施办法》（渭政办发〔2021〕58号）</w:t>
            </w:r>
          </w:p>
          <w:p>
            <w:pPr>
              <w:pStyle w:val="null3"/>
              <w:numPr>
                <w:ilvl w:val="0"/>
                <w:numId w:val="1"/>
              </w:numPr>
              <w:jc w:val="both"/>
            </w:pPr>
            <w:r>
              <w:rPr>
                <w:rFonts w:ascii="仿宋_GB2312" w:hAnsi="仿宋_GB2312" w:cs="仿宋_GB2312" w:eastAsia="仿宋_GB2312"/>
                <w:sz w:val="18"/>
              </w:rPr>
              <w:t>《关于加强数字政府建设的指导意见》（国发〔2022〕14号）</w:t>
            </w:r>
          </w:p>
          <w:p>
            <w:pPr>
              <w:pStyle w:val="null3"/>
              <w:numPr>
                <w:ilvl w:val="0"/>
                <w:numId w:val="1"/>
              </w:numPr>
              <w:jc w:val="both"/>
            </w:pPr>
            <w:r>
              <w:rPr>
                <w:rFonts w:ascii="仿宋_GB2312" w:hAnsi="仿宋_GB2312" w:cs="仿宋_GB2312" w:eastAsia="仿宋_GB2312"/>
                <w:sz w:val="18"/>
              </w:rPr>
              <w:t>《全市严格规范生态环境执法行为整治工作方案》（渭环发〔2022〕44号）</w:t>
            </w:r>
          </w:p>
          <w:p>
            <w:pPr>
              <w:pStyle w:val="null3"/>
              <w:numPr>
                <w:ilvl w:val="0"/>
                <w:numId w:val="1"/>
              </w:numPr>
              <w:jc w:val="both"/>
            </w:pPr>
            <w:r>
              <w:rPr>
                <w:rFonts w:ascii="仿宋_GB2312" w:hAnsi="仿宋_GB2312" w:cs="仿宋_GB2312" w:eastAsia="仿宋_GB2312"/>
                <w:sz w:val="18"/>
              </w:rPr>
              <w:t>《陕西省大气污染治理专项行动方案（2023—2027年）》</w:t>
            </w:r>
          </w:p>
          <w:p>
            <w:pPr>
              <w:pStyle w:val="null3"/>
              <w:numPr>
                <w:ilvl w:val="0"/>
                <w:numId w:val="1"/>
              </w:numPr>
              <w:jc w:val="both"/>
            </w:pPr>
            <w:r>
              <w:rPr>
                <w:rFonts w:ascii="仿宋_GB2312" w:hAnsi="仿宋_GB2312" w:cs="仿宋_GB2312" w:eastAsia="仿宋_GB2312"/>
                <w:sz w:val="18"/>
              </w:rPr>
              <w:t>《渭南市大气污染治理专项行动方案（2023—2027年）》</w:t>
            </w:r>
          </w:p>
          <w:p>
            <w:pPr>
              <w:pStyle w:val="null3"/>
              <w:numPr>
                <w:ilvl w:val="0"/>
                <w:numId w:val="1"/>
              </w:numPr>
              <w:jc w:val="both"/>
            </w:pPr>
            <w:r>
              <w:rPr>
                <w:rFonts w:ascii="仿宋_GB2312" w:hAnsi="仿宋_GB2312" w:cs="仿宋_GB2312" w:eastAsia="仿宋_GB2312"/>
                <w:sz w:val="18"/>
              </w:rPr>
              <w:t>《渭南市环境空气质量限期达标规划（2023—2030年）》</w:t>
            </w:r>
          </w:p>
          <w:p>
            <w:pPr>
              <w:pStyle w:val="null3"/>
              <w:numPr>
                <w:ilvl w:val="0"/>
                <w:numId w:val="1"/>
              </w:numPr>
              <w:jc w:val="both"/>
            </w:pPr>
            <w:r>
              <w:rPr>
                <w:rFonts w:ascii="仿宋_GB2312" w:hAnsi="仿宋_GB2312" w:cs="仿宋_GB2312" w:eastAsia="仿宋_GB2312"/>
                <w:sz w:val="18"/>
              </w:rPr>
              <w:t>《国务院关于印发空气质量持续改善行动计划的通知》（国发〔2023〕24号）</w:t>
            </w:r>
          </w:p>
          <w:p>
            <w:pPr>
              <w:pStyle w:val="null3"/>
              <w:numPr>
                <w:ilvl w:val="0"/>
                <w:numId w:val="1"/>
              </w:numPr>
              <w:jc w:val="both"/>
            </w:pPr>
            <w:r>
              <w:rPr>
                <w:rFonts w:ascii="仿宋_GB2312" w:hAnsi="仿宋_GB2312" w:cs="仿宋_GB2312" w:eastAsia="仿宋_GB2312"/>
                <w:sz w:val="18"/>
              </w:rPr>
              <w:t>《进一步完善基层网格化环境监管体系实施方案》（渭政办发〔2023〕46号）</w:t>
            </w:r>
          </w:p>
          <w:p>
            <w:pPr>
              <w:pStyle w:val="null3"/>
              <w:numPr>
                <w:ilvl w:val="0"/>
                <w:numId w:val="1"/>
              </w:numPr>
              <w:jc w:val="both"/>
            </w:pPr>
            <w:r>
              <w:rPr>
                <w:rFonts w:ascii="仿宋_GB2312" w:hAnsi="仿宋_GB2312" w:cs="仿宋_GB2312" w:eastAsia="仿宋_GB2312"/>
                <w:sz w:val="18"/>
              </w:rPr>
              <w:t>《中华人民共和国环境保护法》（2014年修订）</w:t>
            </w:r>
          </w:p>
          <w:p>
            <w:pPr>
              <w:pStyle w:val="null3"/>
              <w:numPr>
                <w:ilvl w:val="0"/>
                <w:numId w:val="1"/>
              </w:numPr>
              <w:jc w:val="both"/>
            </w:pPr>
            <w:r>
              <w:rPr>
                <w:rFonts w:ascii="仿宋_GB2312" w:hAnsi="仿宋_GB2312" w:cs="仿宋_GB2312" w:eastAsia="仿宋_GB2312"/>
                <w:sz w:val="18"/>
              </w:rPr>
              <w:t>《中华人民共和国大气污染防治法》（2018年修订）</w:t>
            </w:r>
          </w:p>
          <w:p>
            <w:pPr>
              <w:pStyle w:val="null3"/>
              <w:numPr>
                <w:ilvl w:val="0"/>
                <w:numId w:val="1"/>
              </w:numPr>
              <w:jc w:val="both"/>
            </w:pPr>
            <w:r>
              <w:rPr>
                <w:rFonts w:ascii="仿宋_GB2312" w:hAnsi="仿宋_GB2312" w:cs="仿宋_GB2312" w:eastAsia="仿宋_GB2312"/>
                <w:sz w:val="18"/>
              </w:rPr>
              <w:t>《中华人民共和国环境影响评价法》（2018年修订）</w:t>
            </w:r>
          </w:p>
          <w:p>
            <w:pPr>
              <w:pStyle w:val="null3"/>
              <w:numPr>
                <w:ilvl w:val="0"/>
                <w:numId w:val="1"/>
              </w:numPr>
              <w:jc w:val="both"/>
            </w:pPr>
            <w:r>
              <w:rPr>
                <w:rFonts w:ascii="仿宋_GB2312" w:hAnsi="仿宋_GB2312" w:cs="仿宋_GB2312" w:eastAsia="仿宋_GB2312"/>
                <w:sz w:val="18"/>
              </w:rPr>
              <w:t>《中华人民共和国固体废物污染环境防治法》（2020年修订）</w:t>
            </w:r>
          </w:p>
          <w:p>
            <w:pPr>
              <w:pStyle w:val="null3"/>
              <w:numPr>
                <w:ilvl w:val="0"/>
                <w:numId w:val="1"/>
              </w:numPr>
              <w:jc w:val="both"/>
            </w:pPr>
            <w:r>
              <w:rPr>
                <w:rFonts w:ascii="仿宋_GB2312" w:hAnsi="仿宋_GB2312" w:cs="仿宋_GB2312" w:eastAsia="仿宋_GB2312"/>
                <w:sz w:val="18"/>
              </w:rPr>
              <w:t>《渭南市北部山区生态环境保护条例》（2023批准）</w:t>
            </w:r>
          </w:p>
          <w:p>
            <w:pPr>
              <w:pStyle w:val="null3"/>
              <w:numPr>
                <w:ilvl w:val="0"/>
                <w:numId w:val="1"/>
              </w:numPr>
              <w:jc w:val="both"/>
            </w:pPr>
            <w:r>
              <w:rPr>
                <w:rFonts w:ascii="仿宋_GB2312" w:hAnsi="仿宋_GB2312" w:cs="仿宋_GB2312" w:eastAsia="仿宋_GB2312"/>
                <w:sz w:val="18"/>
              </w:rPr>
              <w:t>《环境信息网络建设规范》（HJ460-2009）</w:t>
            </w:r>
          </w:p>
          <w:p>
            <w:pPr>
              <w:pStyle w:val="null3"/>
              <w:numPr>
                <w:ilvl w:val="0"/>
                <w:numId w:val="1"/>
              </w:numPr>
              <w:jc w:val="both"/>
            </w:pPr>
            <w:r>
              <w:rPr>
                <w:rFonts w:ascii="仿宋_GB2312" w:hAnsi="仿宋_GB2312" w:cs="仿宋_GB2312" w:eastAsia="仿宋_GB2312"/>
                <w:sz w:val="18"/>
              </w:rPr>
              <w:t>《计算机软件文档编制规范》（GB/T8567-2006）</w:t>
            </w:r>
          </w:p>
          <w:p>
            <w:pPr>
              <w:pStyle w:val="null3"/>
              <w:numPr>
                <w:ilvl w:val="0"/>
                <w:numId w:val="1"/>
              </w:numPr>
              <w:jc w:val="both"/>
            </w:pPr>
            <w:r>
              <w:rPr>
                <w:rFonts w:ascii="仿宋_GB2312" w:hAnsi="仿宋_GB2312" w:cs="仿宋_GB2312" w:eastAsia="仿宋_GB2312"/>
                <w:sz w:val="18"/>
              </w:rPr>
              <w:t>《软件工程软件评审与审核》（GB/T32421-2015）</w:t>
            </w:r>
          </w:p>
          <w:p>
            <w:pPr>
              <w:pStyle w:val="null3"/>
              <w:numPr>
                <w:ilvl w:val="0"/>
                <w:numId w:val="1"/>
              </w:numPr>
              <w:jc w:val="both"/>
            </w:pPr>
            <w:r>
              <w:rPr>
                <w:rFonts w:ascii="仿宋_GB2312" w:hAnsi="仿宋_GB2312" w:cs="仿宋_GB2312" w:eastAsia="仿宋_GB2312"/>
                <w:sz w:val="18"/>
              </w:rPr>
              <w:t>《软件工程软件开发成本度量规范》（GB∕T36964-2018）</w:t>
            </w:r>
          </w:p>
          <w:p>
            <w:pPr>
              <w:pStyle w:val="null3"/>
              <w:numPr>
                <w:ilvl w:val="0"/>
                <w:numId w:val="1"/>
              </w:numPr>
              <w:jc w:val="both"/>
            </w:pPr>
            <w:r>
              <w:rPr>
                <w:rFonts w:ascii="仿宋_GB2312" w:hAnsi="仿宋_GB2312" w:cs="仿宋_GB2312" w:eastAsia="仿宋_GB2312"/>
                <w:sz w:val="18"/>
              </w:rPr>
              <w:t>《信息技术服务分类与代码》（GB∕T29264-2012）</w:t>
            </w:r>
          </w:p>
          <w:p>
            <w:pPr>
              <w:pStyle w:val="null3"/>
              <w:numPr>
                <w:ilvl w:val="0"/>
                <w:numId w:val="1"/>
              </w:numPr>
              <w:jc w:val="both"/>
            </w:pPr>
            <w:r>
              <w:rPr>
                <w:rFonts w:ascii="仿宋_GB2312" w:hAnsi="仿宋_GB2312" w:cs="仿宋_GB2312" w:eastAsia="仿宋_GB2312"/>
                <w:sz w:val="18"/>
              </w:rPr>
              <w:t>《信息技术服务服务级别协议指南》（SJ∕T11691-2017）</w:t>
            </w:r>
          </w:p>
          <w:p>
            <w:pPr>
              <w:pStyle w:val="null3"/>
              <w:numPr>
                <w:ilvl w:val="0"/>
                <w:numId w:val="1"/>
              </w:numPr>
              <w:jc w:val="both"/>
            </w:pPr>
            <w:r>
              <w:rPr>
                <w:rFonts w:ascii="仿宋_GB2312" w:hAnsi="仿宋_GB2312" w:cs="仿宋_GB2312" w:eastAsia="仿宋_GB2312"/>
                <w:sz w:val="18"/>
              </w:rPr>
              <w:t>《移动应用软件安全评估方法》（YD/T3228-2017）</w:t>
            </w:r>
          </w:p>
          <w:p>
            <w:pPr>
              <w:pStyle w:val="null3"/>
              <w:numPr>
                <w:ilvl w:val="0"/>
                <w:numId w:val="1"/>
              </w:numPr>
              <w:jc w:val="both"/>
            </w:pPr>
            <w:r>
              <w:rPr>
                <w:rFonts w:ascii="仿宋_GB2312" w:hAnsi="仿宋_GB2312" w:cs="仿宋_GB2312" w:eastAsia="仿宋_GB2312"/>
                <w:sz w:val="18"/>
              </w:rPr>
              <w:t>《信息技术软件资产管理实施指南》（SJ/T11622-2016）</w:t>
            </w:r>
          </w:p>
          <w:p>
            <w:pPr>
              <w:pStyle w:val="null3"/>
              <w:numPr>
                <w:ilvl w:val="0"/>
                <w:numId w:val="1"/>
              </w:numPr>
              <w:jc w:val="both"/>
            </w:pPr>
            <w:r>
              <w:rPr>
                <w:rFonts w:ascii="仿宋_GB2312" w:hAnsi="仿宋_GB2312" w:cs="仿宋_GB2312" w:eastAsia="仿宋_GB2312"/>
                <w:sz w:val="18"/>
              </w:rPr>
              <w:t>《信息化项目软件运维费用测算规范》（DB11/T1424-2017）</w:t>
            </w:r>
          </w:p>
          <w:p>
            <w:pPr>
              <w:pStyle w:val="null3"/>
              <w:numPr>
                <w:ilvl w:val="0"/>
                <w:numId w:val="1"/>
              </w:numPr>
              <w:jc w:val="both"/>
            </w:pPr>
            <w:r>
              <w:rPr>
                <w:rFonts w:ascii="仿宋_GB2312" w:hAnsi="仿宋_GB2312" w:cs="仿宋_GB2312" w:eastAsia="仿宋_GB2312"/>
                <w:sz w:val="18"/>
              </w:rPr>
              <w:t>《软件测试成本度量基本方法》（DB37/T2791-2016）</w:t>
            </w:r>
          </w:p>
          <w:p>
            <w:pPr>
              <w:pStyle w:val="null3"/>
              <w:numPr>
                <w:ilvl w:val="0"/>
                <w:numId w:val="1"/>
              </w:numPr>
              <w:jc w:val="both"/>
            </w:pPr>
            <w:r>
              <w:rPr>
                <w:rFonts w:ascii="仿宋_GB2312" w:hAnsi="仿宋_GB2312" w:cs="仿宋_GB2312" w:eastAsia="仿宋_GB2312"/>
                <w:sz w:val="18"/>
              </w:rPr>
              <w:t>《软件研发成本度量规范》（SJ/T11463-2013）</w:t>
            </w:r>
          </w:p>
          <w:p>
            <w:pPr>
              <w:pStyle w:val="null3"/>
              <w:numPr>
                <w:ilvl w:val="0"/>
                <w:numId w:val="1"/>
              </w:numPr>
              <w:jc w:val="both"/>
            </w:pPr>
            <w:r>
              <w:rPr>
                <w:rFonts w:ascii="仿宋_GB2312" w:hAnsi="仿宋_GB2312" w:cs="仿宋_GB2312" w:eastAsia="仿宋_GB2312"/>
                <w:sz w:val="18"/>
              </w:rPr>
              <w:t>《软件开发项目造价评估规范》（DB13/T2106-2014）</w:t>
            </w:r>
          </w:p>
          <w:p>
            <w:pPr>
              <w:pStyle w:val="null3"/>
              <w:ind w:firstLine="560"/>
              <w:jc w:val="both"/>
            </w:pPr>
            <w:r>
              <w:rPr>
                <w:rFonts w:ascii="仿宋_GB2312" w:hAnsi="仿宋_GB2312" w:cs="仿宋_GB2312" w:eastAsia="仿宋_GB2312"/>
                <w:sz w:val="18"/>
              </w:rPr>
              <w:t>除上述规范以外的遵循国家现行的其它相关规范和标准要求，并统一执行最新标准规范。</w:t>
            </w:r>
          </w:p>
          <w:p>
            <w:pPr>
              <w:pStyle w:val="null3"/>
              <w:jc w:val="both"/>
            </w:pPr>
            <w:r>
              <w:rPr>
                <w:rFonts w:ascii="仿宋_GB2312" w:hAnsi="仿宋_GB2312" w:cs="仿宋_GB2312" w:eastAsia="仿宋_GB2312"/>
                <w:sz w:val="18"/>
              </w:rPr>
              <w:t xml:space="preserve">    三、服务指标的具体要求</w:t>
            </w:r>
          </w:p>
          <w:p>
            <w:pPr>
              <w:pStyle w:val="null3"/>
              <w:ind w:firstLine="560"/>
              <w:jc w:val="both"/>
            </w:pPr>
            <w:r>
              <w:rPr>
                <w:rFonts w:ascii="仿宋_GB2312" w:hAnsi="仿宋_GB2312" w:cs="仿宋_GB2312" w:eastAsia="仿宋_GB2312"/>
                <w:sz w:val="18"/>
              </w:rPr>
              <w:t>1.建设目标</w:t>
            </w:r>
          </w:p>
          <w:p>
            <w:pPr>
              <w:pStyle w:val="null3"/>
              <w:ind w:firstLine="560"/>
              <w:jc w:val="both"/>
            </w:pPr>
            <w:r>
              <w:rPr>
                <w:rFonts w:ascii="仿宋_GB2312" w:hAnsi="仿宋_GB2312" w:cs="仿宋_GB2312" w:eastAsia="仿宋_GB2312"/>
                <w:sz w:val="18"/>
              </w:rPr>
              <w:t>以现有城乡“治理一张网”为基础，按照“寸寸土地有人管、件件污染有人查”的目标，将行政村（社区）的四级环境网格细化到村（居）民小组，实现网格化环境监管精细化、高效化、规范化，真正使环境监管的触角延伸至基层，从源头减少生态环境隐患，有效破解基层环境治理“看得见的管不住、管得住的看不见”的难题，确保排污单位得到有效监管、环境违法行为得到及时查处、环境突出问题得到稳妥解决、环境秩序得到有力维护。</w:t>
            </w:r>
          </w:p>
          <w:p>
            <w:pPr>
              <w:pStyle w:val="null3"/>
              <w:ind w:firstLine="560"/>
              <w:jc w:val="both"/>
            </w:pPr>
            <w:r>
              <w:rPr>
                <w:rFonts w:ascii="仿宋_GB2312" w:hAnsi="仿宋_GB2312" w:cs="仿宋_GB2312" w:eastAsia="仿宋_GB2312"/>
                <w:sz w:val="18"/>
              </w:rPr>
              <w:t>为贯彻落实国家信创产业发展战略，保障渭南市网格化环境监管平台的自主可控、安全可靠，本次优化提升改造新增信创适配改造内容，实现平台软硬件技术栈的</w:t>
            </w:r>
            <w:r>
              <w:rPr>
                <w:rFonts w:ascii="仿宋_GB2312" w:hAnsi="仿宋_GB2312" w:cs="仿宋_GB2312" w:eastAsia="仿宋_GB2312"/>
                <w:sz w:val="18"/>
              </w:rPr>
              <w:t>信创替代</w:t>
            </w:r>
            <w:r>
              <w:rPr>
                <w:rFonts w:ascii="仿宋_GB2312" w:hAnsi="仿宋_GB2312" w:cs="仿宋_GB2312" w:eastAsia="仿宋_GB2312"/>
                <w:sz w:val="18"/>
              </w:rPr>
              <w:t>，构建基于国产芯片、操作系统、数据库、中间件及安全设备的全栈信创环境，确保平台符合国家信创标准及安全要求，提升生态环境监管数据安全保障能力。</w:t>
            </w:r>
          </w:p>
          <w:p>
            <w:pPr>
              <w:pStyle w:val="null3"/>
              <w:ind w:firstLine="560"/>
              <w:jc w:val="both"/>
            </w:pPr>
            <w:r>
              <w:rPr>
                <w:rFonts w:ascii="仿宋_GB2312" w:hAnsi="仿宋_GB2312" w:cs="仿宋_GB2312" w:eastAsia="仿宋_GB2312"/>
                <w:sz w:val="18"/>
              </w:rPr>
              <w:t>2.建设规模</w:t>
            </w:r>
          </w:p>
          <w:p>
            <w:pPr>
              <w:pStyle w:val="null3"/>
              <w:ind w:firstLine="560"/>
              <w:jc w:val="both"/>
            </w:pPr>
            <w:r>
              <w:rPr>
                <w:rFonts w:ascii="仿宋_GB2312" w:hAnsi="仿宋_GB2312" w:cs="仿宋_GB2312" w:eastAsia="仿宋_GB2312"/>
                <w:sz w:val="18"/>
              </w:rPr>
              <w:t>本项目升级软件系统1个，即渭南市网格化环境监管平台，包含平台功能新增3个模块；平台功能优化升级7个模块；平台组件升级2个模块；信创改造5个模块；采购第三方地图服务。</w:t>
            </w:r>
          </w:p>
          <w:p>
            <w:pPr>
              <w:pStyle w:val="null3"/>
              <w:ind w:firstLine="560"/>
              <w:jc w:val="both"/>
            </w:pPr>
            <w:r>
              <w:rPr>
                <w:rFonts w:ascii="仿宋_GB2312" w:hAnsi="仿宋_GB2312" w:cs="仿宋_GB2312" w:eastAsia="仿宋_GB2312"/>
                <w:sz w:val="18"/>
              </w:rPr>
              <w:t>3.建设内容</w:t>
            </w:r>
          </w:p>
          <w:tbl>
            <w:tblPr>
              <w:tblBorders>
                <w:top w:val="none" w:color="000000" w:sz="4"/>
                <w:left w:val="none" w:color="000000" w:sz="4"/>
                <w:bottom w:val="none" w:color="000000" w:sz="4"/>
                <w:right w:val="none" w:color="000000" w:sz="4"/>
                <w:insideH w:val="none"/>
                <w:insideV w:val="none"/>
              </w:tblBorders>
            </w:tblPr>
            <w:tblGrid>
              <w:gridCol w:w="83"/>
              <w:gridCol w:w="406"/>
              <w:gridCol w:w="2058"/>
            </w:tblGrid>
            <w:tr>
              <w:tc>
                <w:tcPr>
                  <w:tcW w:type="dxa" w:w="8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1</w:t>
                  </w:r>
                </w:p>
              </w:tc>
              <w:tc>
                <w:tcPr>
                  <w:tcW w:type="dxa" w:w="406"/>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平台功能新增</w:t>
                  </w:r>
                </w:p>
              </w:tc>
              <w:tc>
                <w:tcPr>
                  <w:tcW w:type="dxa" w:w="205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包含环保网格一张图、服务监控、任务轨迹巡查三个模块；</w:t>
                  </w:r>
                </w:p>
              </w:tc>
            </w:tr>
            <w:tr>
              <w:tc>
                <w:tcPr>
                  <w:tcW w:type="dxa" w:w="8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2</w:t>
                  </w:r>
                </w:p>
              </w:tc>
              <w:tc>
                <w:tcPr>
                  <w:tcW w:type="dxa" w:w="40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平台优化升级</w:t>
                  </w:r>
                </w:p>
              </w:tc>
              <w:tc>
                <w:tcPr>
                  <w:tcW w:type="dxa" w:w="20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包含组织架构升级、网格管理、业务流程升级、任务巡查优化、可视化分析指标优化、展示效果优化、数据统计；</w:t>
                  </w:r>
                </w:p>
              </w:tc>
            </w:tr>
            <w:tr>
              <w:tc>
                <w:tcPr>
                  <w:tcW w:type="dxa" w:w="8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3</w:t>
                  </w:r>
                </w:p>
              </w:tc>
              <w:tc>
                <w:tcPr>
                  <w:tcW w:type="dxa" w:w="40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平台组件升级</w:t>
                  </w:r>
                </w:p>
              </w:tc>
              <w:tc>
                <w:tcPr>
                  <w:tcW w:type="dxa" w:w="20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包含购置工作流引擎费用、工作流引擎升级适配、APP端重构；</w:t>
                  </w:r>
                </w:p>
              </w:tc>
            </w:tr>
            <w:tr>
              <w:tc>
                <w:tcPr>
                  <w:tcW w:type="dxa" w:w="8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4</w:t>
                  </w:r>
                </w:p>
              </w:tc>
              <w:tc>
                <w:tcPr>
                  <w:tcW w:type="dxa" w:w="40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信创改造</w:t>
                  </w:r>
                </w:p>
              </w:tc>
              <w:tc>
                <w:tcPr>
                  <w:tcW w:type="dxa" w:w="20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包含服务器环境适配、组件适配、接口适配、信创安全监测、数据迁移；</w:t>
                  </w:r>
                </w:p>
              </w:tc>
            </w:tr>
            <w:tr>
              <w:tc>
                <w:tcPr>
                  <w:tcW w:type="dxa" w:w="8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5</w:t>
                  </w:r>
                </w:p>
              </w:tc>
              <w:tc>
                <w:tcPr>
                  <w:tcW w:type="dxa" w:w="40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第三方地图服务</w:t>
                  </w:r>
                </w:p>
              </w:tc>
              <w:tc>
                <w:tcPr>
                  <w:tcW w:type="dxa" w:w="20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购买第三方地图服务，实现位置获取、地图调用、POI数据查询</w:t>
                  </w:r>
                </w:p>
              </w:tc>
            </w:tr>
            <w:tr>
              <w:tc>
                <w:tcPr>
                  <w:tcW w:type="dxa" w:w="8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6</w:t>
                  </w:r>
                </w:p>
              </w:tc>
              <w:tc>
                <w:tcPr>
                  <w:tcW w:type="dxa" w:w="40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运维服务</w:t>
                  </w:r>
                </w:p>
              </w:tc>
              <w:tc>
                <w:tcPr>
                  <w:tcW w:type="dxa" w:w="20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三年运维服务</w:t>
                  </w:r>
                </w:p>
              </w:tc>
            </w:tr>
            <w:tr>
              <w:tc>
                <w:tcPr>
                  <w:tcW w:type="dxa" w:w="8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7</w:t>
                  </w:r>
                </w:p>
              </w:tc>
              <w:tc>
                <w:tcPr>
                  <w:tcW w:type="dxa" w:w="40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信息网络安全等级保护测评</w:t>
                  </w:r>
                </w:p>
              </w:tc>
              <w:tc>
                <w:tcPr>
                  <w:tcW w:type="dxa" w:w="20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信息网络安全等级保护测评符合等保三级要求</w:t>
                  </w:r>
                </w:p>
              </w:tc>
            </w:tr>
          </w:tbl>
          <w:tbl>
            <w:tblPr>
              <w:tblBorders>
                <w:top w:val="none" w:color="000000" w:sz="4"/>
                <w:left w:val="none" w:color="000000" w:sz="4"/>
                <w:bottom w:val="none" w:color="000000" w:sz="4"/>
                <w:right w:val="none" w:color="000000" w:sz="4"/>
                <w:insideH w:val="none"/>
                <w:insideV w:val="none"/>
              </w:tblBorders>
            </w:tblPr>
            <w:tblGrid>
              <w:gridCol w:w="217"/>
              <w:gridCol w:w="448"/>
              <w:gridCol w:w="1190"/>
              <w:gridCol w:w="687"/>
            </w:tblGrid>
            <w:tr>
              <w:tc>
                <w:tcPr>
                  <w:tcW w:type="dxa" w:w="2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建设分项</w:t>
                  </w:r>
                </w:p>
              </w:tc>
              <w:tc>
                <w:tcPr>
                  <w:tcW w:type="dxa" w:w="4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建设子项</w:t>
                  </w:r>
                </w:p>
              </w:tc>
              <w:tc>
                <w:tcPr>
                  <w:tcW w:type="dxa" w:w="11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业务功能</w:t>
                  </w:r>
                </w:p>
              </w:tc>
              <w:tc>
                <w:tcPr>
                  <w:tcW w:type="dxa" w:w="6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备注</w:t>
                  </w:r>
                </w:p>
              </w:tc>
            </w:tr>
            <w:tr>
              <w:tc>
                <w:tcPr>
                  <w:tcW w:type="dxa" w:w="21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平台</w:t>
                  </w:r>
                </w:p>
                <w:p>
                  <w:pPr>
                    <w:pStyle w:val="null3"/>
                    <w:jc w:val="both"/>
                  </w:pPr>
                  <w:r>
                    <w:rPr>
                      <w:rFonts w:ascii="仿宋_GB2312" w:hAnsi="仿宋_GB2312" w:cs="仿宋_GB2312" w:eastAsia="仿宋_GB2312"/>
                      <w:sz w:val="18"/>
                    </w:rPr>
                    <w:t>功能</w:t>
                  </w:r>
                </w:p>
                <w:p>
                  <w:pPr>
                    <w:pStyle w:val="null3"/>
                    <w:jc w:val="both"/>
                  </w:pPr>
                  <w:r>
                    <w:rPr>
                      <w:rFonts w:ascii="仿宋_GB2312" w:hAnsi="仿宋_GB2312" w:cs="仿宋_GB2312" w:eastAsia="仿宋_GB2312"/>
                      <w:sz w:val="18"/>
                    </w:rPr>
                    <w:t>新增</w:t>
                  </w:r>
                </w:p>
              </w:tc>
              <w:tc>
                <w:tcPr>
                  <w:tcW w:type="dxa" w:w="44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环保网格一张图</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事件概况</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巡查任务</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网格人员分析</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基础资源信息</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考核评价</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任务轨迹</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任务轨迹</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服务监控</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接口监控</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服务资源监控</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sql监控</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作业调度服务监控</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平台功能优化升级</w:t>
                  </w:r>
                </w:p>
              </w:tc>
              <w:tc>
                <w:tcPr>
                  <w:tcW w:type="dxa" w:w="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组织架构升级</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组织架构、权限升级</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网格管理</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网格管理</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业务流程升级</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事件处置流程变更</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任务巡查优化</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巡查清单管理</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巡查任务排班</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网格员巡查</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地图导航</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网格员巡查任务清单报表</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市县镇巡查督查任务</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可视化分析指标优化</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事件分析优化</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巡查任务分析优化</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考核结果升级</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展示效果优化</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事务工作台优化</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移动端APP优化</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后台管理页面优化</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事件分析页面优化</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实时动态页面分析优化</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数据统计</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数据统计</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组件</w:t>
                  </w:r>
                </w:p>
                <w:p>
                  <w:pPr>
                    <w:pStyle w:val="null3"/>
                    <w:jc w:val="both"/>
                  </w:pPr>
                  <w:r>
                    <w:rPr>
                      <w:rFonts w:ascii="仿宋_GB2312" w:hAnsi="仿宋_GB2312" w:cs="仿宋_GB2312" w:eastAsia="仿宋_GB2312"/>
                      <w:sz w:val="18"/>
                    </w:rPr>
                    <w:t>升级</w:t>
                  </w:r>
                </w:p>
              </w:tc>
              <w:tc>
                <w:tcPr>
                  <w:tcW w:type="dxa" w:w="44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工作流引擎升级适配</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工作流引擎</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工作流引擎升级适配</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APP端重构</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APP端重构</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1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信创</w:t>
                  </w:r>
                </w:p>
                <w:p>
                  <w:pPr>
                    <w:pStyle w:val="null3"/>
                    <w:jc w:val="both"/>
                  </w:pPr>
                  <w:r>
                    <w:rPr>
                      <w:rFonts w:ascii="仿宋_GB2312" w:hAnsi="仿宋_GB2312" w:cs="仿宋_GB2312" w:eastAsia="仿宋_GB2312"/>
                      <w:sz w:val="18"/>
                    </w:rPr>
                    <w:t>改造</w:t>
                  </w:r>
                </w:p>
              </w:tc>
              <w:tc>
                <w:tcPr>
                  <w:tcW w:type="dxa" w:w="44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服务器环境适配</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操作系统</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操作系统由现有非国产系统替换为国产操作系统，保障底层系统自主可控。</w:t>
                  </w: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数据库</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将现有数据库替换为国产数据库，完成数据迁移与适配，确保环境监管数据存储、查询、分析等功能兼容国产数据库特性。</w:t>
                  </w:r>
                </w:p>
              </w:tc>
            </w:tr>
            <w:tr>
              <w:tc>
                <w:tcPr>
                  <w:tcW w:type="dxa" w:w="217"/>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组件适配</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平台组件国产化适配</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中间件适配：采用国产应用中间件，替代现有非国产中间件，确保平台服务稳定运行。</w:t>
                  </w:r>
                </w:p>
              </w:tc>
            </w:tr>
            <w:tr>
              <w:tc>
                <w:tcPr>
                  <w:tcW w:type="dxa" w:w="217"/>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代码与语法适配</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代码与语法适配</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1、数据库SQL适配：修改非国产数据库特有语法；</w:t>
                  </w:r>
                  <w:r>
                    <w:br/>
                  </w:r>
                  <w:r>
                    <w:rPr>
                      <w:rFonts w:ascii="仿宋_GB2312" w:hAnsi="仿宋_GB2312" w:cs="仿宋_GB2312" w:eastAsia="仿宋_GB2312"/>
                      <w:sz w:val="18"/>
                    </w:rPr>
                    <w:t xml:space="preserve"> 2、操作系统适配：将接口中硬编码的Windows路径（如C:\data\）改为国产Linux的标准路径（如/data/）；用跨平台库（如JavaNIO）替换操作系统特定API调用。</w:t>
                  </w:r>
                  <w:r>
                    <w:br/>
                  </w:r>
                  <w:r>
                    <w:rPr>
                      <w:rFonts w:ascii="仿宋_GB2312" w:hAnsi="仿宋_GB2312" w:cs="仿宋_GB2312" w:eastAsia="仿宋_GB2312"/>
                      <w:sz w:val="18"/>
                    </w:rPr>
                    <w:t xml:space="preserve"> 数据格式处理：统一接口数据编码为UTF-8，解决国产环境下的字符集乱码问题；优化大字段（如巡查现场照片二进制数据）的传输方式，适配国产中间件的缓存机制。</w:t>
                  </w:r>
                </w:p>
              </w:tc>
            </w:tr>
            <w:tr>
              <w:tc>
                <w:tcPr>
                  <w:tcW w:type="dxa" w:w="217"/>
                  <w:vMerge/>
                  <w:tcBorders>
                    <w:top w:val="none" w:color="000000" w:sz="4"/>
                    <w:left w:val="single" w:color="000000" w:sz="4"/>
                    <w:bottom w:val="single" w:color="000000" w:sz="4"/>
                    <w:right w:val="single" w:color="000000" w:sz="4"/>
                  </w:tcBorders>
                </w:tcPr>
                <w:p/>
              </w:tc>
              <w:tc>
                <w:tcPr>
                  <w:tcW w:type="dxa" w:w="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信创安全监测</w:t>
                  </w: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主机审计探针接入</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聚焦云主机的操作行为、安全状态、资源调用</w:t>
                  </w:r>
                </w:p>
              </w:tc>
            </w:tr>
            <w:tr>
              <w:tc>
                <w:tcPr>
                  <w:tcW w:type="dxa" w:w="217"/>
                  <w:vMerge/>
                  <w:tcBorders>
                    <w:top w:val="none" w:color="000000" w:sz="4"/>
                    <w:left w:val="single" w:color="000000" w:sz="4"/>
                    <w:bottom w:val="single" w:color="000000" w:sz="4"/>
                    <w:right w:val="single" w:color="000000" w:sz="4"/>
                  </w:tcBorders>
                </w:tcPr>
                <w:p/>
              </w:tc>
              <w:tc>
                <w:tcPr>
                  <w:tcW w:type="dxa" w:w="44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数据迁移</w:t>
                  </w:r>
                </w:p>
              </w:tc>
              <w:tc>
                <w:tcPr>
                  <w:tcW w:type="dxa" w:w="119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数据迁移</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网格员信息迁移</w:t>
                  </w: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网格信息迁移</w:t>
                  </w: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事件信息迁移</w:t>
                  </w: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组织架构信息迁移</w:t>
                  </w: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报表数据迁移</w:t>
                  </w:r>
                </w:p>
              </w:tc>
            </w:tr>
            <w:tr>
              <w:tc>
                <w:tcPr>
                  <w:tcW w:type="dxa" w:w="217"/>
                  <w:vMerge/>
                  <w:tcBorders>
                    <w:top w:val="none" w:color="000000" w:sz="4"/>
                    <w:left w:val="single" w:color="000000" w:sz="4"/>
                    <w:bottom w:val="single" w:color="000000" w:sz="4"/>
                    <w:right w:val="single" w:color="000000" w:sz="4"/>
                  </w:tcBorders>
                </w:tcPr>
                <w:p/>
              </w:tc>
              <w:tc>
                <w:tcPr>
                  <w:tcW w:type="dxa" w:w="448"/>
                  <w:vMerge/>
                  <w:tcBorders>
                    <w:top w:val="none" w:color="000000" w:sz="4"/>
                    <w:left w:val="single" w:color="000000" w:sz="4"/>
                    <w:bottom w:val="single" w:color="000000" w:sz="4"/>
                    <w:right w:val="single" w:color="000000" w:sz="4"/>
                  </w:tcBorders>
                </w:tcPr>
                <w:p/>
              </w:tc>
              <w:tc>
                <w:tcPr>
                  <w:tcW w:type="dxa" w:w="1190"/>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企业数据迁移</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地图</w:t>
                  </w:r>
                </w:p>
                <w:p>
                  <w:pPr>
                    <w:pStyle w:val="null3"/>
                    <w:jc w:val="both"/>
                  </w:pPr>
                  <w:r>
                    <w:rPr>
                      <w:rFonts w:ascii="仿宋_GB2312" w:hAnsi="仿宋_GB2312" w:cs="仿宋_GB2312" w:eastAsia="仿宋_GB2312"/>
                      <w:sz w:val="18"/>
                    </w:rPr>
                    <w:t>服务</w:t>
                  </w:r>
                </w:p>
              </w:tc>
              <w:tc>
                <w:tcPr>
                  <w:tcW w:type="dxa" w:w="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购买第三方地图服务，实现位置获取、地图调用、POI数据查询</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运维</w:t>
                  </w:r>
                </w:p>
                <w:p>
                  <w:pPr>
                    <w:pStyle w:val="null3"/>
                    <w:jc w:val="both"/>
                  </w:pPr>
                  <w:r>
                    <w:rPr>
                      <w:rFonts w:ascii="仿宋_GB2312" w:hAnsi="仿宋_GB2312" w:cs="仿宋_GB2312" w:eastAsia="仿宋_GB2312"/>
                      <w:sz w:val="18"/>
                    </w:rPr>
                    <w:t>服务</w:t>
                  </w:r>
                </w:p>
              </w:tc>
              <w:tc>
                <w:tcPr>
                  <w:tcW w:type="dxa" w:w="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三年运维服务</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信息网络安全等级保护测评</w:t>
                  </w:r>
                </w:p>
              </w:tc>
              <w:tc>
                <w:tcPr>
                  <w:tcW w:type="dxa" w:w="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信息网络安全等级保护测评符合等保三级要求</w:t>
                  </w:r>
                </w:p>
              </w:tc>
            </w:tr>
          </w:tbl>
          <w:p>
            <w:pPr>
              <w:pStyle w:val="null3"/>
              <w:ind w:firstLine="560"/>
              <w:jc w:val="both"/>
            </w:pPr>
            <w:r>
              <w:rPr>
                <w:rFonts w:ascii="仿宋_GB2312" w:hAnsi="仿宋_GB2312" w:cs="仿宋_GB2312" w:eastAsia="仿宋_GB2312"/>
                <w:sz w:val="18"/>
              </w:rPr>
              <w:t>4.共享目标</w:t>
            </w:r>
          </w:p>
          <w:p>
            <w:pPr>
              <w:pStyle w:val="null3"/>
              <w:ind w:firstLine="560"/>
              <w:jc w:val="both"/>
            </w:pPr>
            <w:r>
              <w:rPr>
                <w:rFonts w:ascii="仿宋_GB2312" w:hAnsi="仿宋_GB2312" w:cs="仿宋_GB2312" w:eastAsia="仿宋_GB2312"/>
                <w:sz w:val="18"/>
              </w:rPr>
              <w:t>以“数据互通、业务协同”为核心，实现平台与外部系统（如城乡“治理一张网”、市级生态环境局系统、政务人员管理平台等）的安全、规范数据共享，支撑跨部门环境监管协同，提升基层环境治理效率。</w:t>
            </w:r>
          </w:p>
          <w:p>
            <w:pPr>
              <w:pStyle w:val="null3"/>
              <w:ind w:firstLine="560"/>
              <w:jc w:val="both"/>
            </w:pPr>
            <w:r>
              <w:rPr>
                <w:rFonts w:ascii="仿宋_GB2312" w:hAnsi="仿宋_GB2312" w:cs="仿宋_GB2312" w:eastAsia="仿宋_GB2312"/>
                <w:sz w:val="18"/>
              </w:rPr>
              <w:t>5.培训要求</w:t>
            </w:r>
          </w:p>
          <w:p>
            <w:pPr>
              <w:pStyle w:val="null3"/>
              <w:ind w:firstLine="560"/>
              <w:jc w:val="both"/>
            </w:pPr>
            <w:r>
              <w:rPr>
                <w:rFonts w:ascii="仿宋_GB2312" w:hAnsi="仿宋_GB2312" w:cs="仿宋_GB2312" w:eastAsia="仿宋_GB2312"/>
                <w:sz w:val="18"/>
              </w:rPr>
              <w:t>通过系统全面的培训，使项目所涉及的技术维护、业务操作等所有人员能全面了解整个系统，能顺利开展工作，确保整个系统安全可靠的运行，达到最大效益。</w:t>
            </w:r>
          </w:p>
          <w:p>
            <w:pPr>
              <w:pStyle w:val="null3"/>
              <w:ind w:firstLine="560"/>
              <w:jc w:val="both"/>
            </w:pPr>
            <w:r>
              <w:rPr>
                <w:rFonts w:ascii="仿宋_GB2312" w:hAnsi="仿宋_GB2312" w:cs="仿宋_GB2312" w:eastAsia="仿宋_GB2312"/>
                <w:sz w:val="18"/>
              </w:rPr>
              <w:t>6.运维要求</w:t>
            </w:r>
          </w:p>
          <w:p>
            <w:pPr>
              <w:pStyle w:val="null3"/>
              <w:ind w:firstLine="560"/>
              <w:jc w:val="both"/>
            </w:pPr>
            <w:r>
              <w:rPr>
                <w:rFonts w:ascii="仿宋_GB2312" w:hAnsi="仿宋_GB2312" w:cs="仿宋_GB2312" w:eastAsia="仿宋_GB2312"/>
                <w:sz w:val="18"/>
              </w:rPr>
              <w:t>6.1运维范围</w:t>
            </w:r>
          </w:p>
          <w:tbl>
            <w:tblPr>
              <w:tblBorders>
                <w:top w:val="none" w:color="000000" w:sz="4"/>
                <w:left w:val="none" w:color="000000" w:sz="4"/>
                <w:bottom w:val="none" w:color="000000" w:sz="4"/>
                <w:right w:val="none" w:color="000000" w:sz="4"/>
                <w:insideH w:val="none"/>
                <w:insideV w:val="none"/>
              </w:tblBorders>
            </w:tblPr>
            <w:tblGrid>
              <w:gridCol w:w="371"/>
              <w:gridCol w:w="2177"/>
            </w:tblGrid>
            <w:tr>
              <w:tc>
                <w:tcPr>
                  <w:tcW w:type="dxa" w:w="37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类别</w:t>
                  </w:r>
                </w:p>
              </w:tc>
              <w:tc>
                <w:tcPr>
                  <w:tcW w:type="dxa" w:w="217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具体内容</w:t>
                  </w:r>
                </w:p>
              </w:tc>
            </w:tr>
            <w:tr>
              <w:tc>
                <w:tcPr>
                  <w:tcW w:type="dxa" w:w="37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软件系统</w:t>
                  </w:r>
                </w:p>
              </w:tc>
              <w:tc>
                <w:tcPr>
                  <w:tcW w:type="dxa" w:w="2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平台应用：环保网格一张图、任务轨迹、服务监控等新增模块；组织架构升级、网格管理等优化模块；</w:t>
                  </w:r>
                </w:p>
                <w:p>
                  <w:pPr>
                    <w:pStyle w:val="null3"/>
                    <w:jc w:val="both"/>
                  </w:pPr>
                  <w:r>
                    <w:rPr>
                      <w:rFonts w:ascii="仿宋_GB2312" w:hAnsi="仿宋_GB2312" w:cs="仿宋_GB2312" w:eastAsia="仿宋_GB2312"/>
                      <w:sz w:val="18"/>
                    </w:rPr>
                    <w:t>信创组件：中间件、数据库</w:t>
                  </w:r>
                </w:p>
                <w:p>
                  <w:pPr>
                    <w:pStyle w:val="null3"/>
                    <w:jc w:val="both"/>
                  </w:pPr>
                  <w:r>
                    <w:rPr>
                      <w:rFonts w:ascii="仿宋_GB2312" w:hAnsi="仿宋_GB2312" w:cs="仿宋_GB2312" w:eastAsia="仿宋_GB2312"/>
                      <w:sz w:val="18"/>
                    </w:rPr>
                    <w:t>第三方服务：地图服务接口（位置定位、导航）</w:t>
                  </w:r>
                </w:p>
              </w:tc>
            </w:tr>
            <w:tr>
              <w:tc>
                <w:tcPr>
                  <w:tcW w:type="dxa" w:w="37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数据资产</w:t>
                  </w:r>
                </w:p>
              </w:tc>
              <w:tc>
                <w:tcPr>
                  <w:tcW w:type="dxa" w:w="2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结构化数据：网格员信息、网格信息、事件记录、组织架构数据；</w:t>
                  </w:r>
                </w:p>
                <w:p>
                  <w:pPr>
                    <w:pStyle w:val="null3"/>
                    <w:jc w:val="both"/>
                  </w:pPr>
                  <w:r>
                    <w:rPr>
                      <w:rFonts w:ascii="仿宋_GB2312" w:hAnsi="仿宋_GB2312" w:cs="仿宋_GB2312" w:eastAsia="仿宋_GB2312"/>
                      <w:sz w:val="18"/>
                    </w:rPr>
                    <w:t>非结构化数据：事件现场照片（信创云存储）、操作日志</w:t>
                  </w:r>
                </w:p>
              </w:tc>
            </w:tr>
            <w:tr>
              <w:tc>
                <w:tcPr>
                  <w:tcW w:type="dxa" w:w="37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业务流程</w:t>
                  </w:r>
                </w:p>
              </w:tc>
              <w:tc>
                <w:tcPr>
                  <w:tcW w:type="dxa" w:w="217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18"/>
                    </w:rPr>
                    <w:t>事件处置流程（村组→镇街→县区→市级四级流转）、任务巡查调度、考核评价统计等核心业务链路</w:t>
                  </w:r>
                </w:p>
              </w:tc>
            </w:tr>
          </w:tbl>
          <w:p>
            <w:pPr>
              <w:pStyle w:val="null3"/>
              <w:ind w:firstLine="560"/>
              <w:jc w:val="both"/>
            </w:pPr>
            <w:r>
              <w:rPr>
                <w:rFonts w:ascii="仿宋_GB2312" w:hAnsi="仿宋_GB2312" w:cs="仿宋_GB2312" w:eastAsia="仿宋_GB2312"/>
                <w:sz w:val="18"/>
              </w:rPr>
              <w:t>6.2运维团队</w:t>
            </w:r>
          </w:p>
          <w:p>
            <w:pPr>
              <w:pStyle w:val="null3"/>
              <w:ind w:firstLine="560"/>
              <w:jc w:val="both"/>
            </w:pPr>
            <w:r>
              <w:rPr>
                <w:rFonts w:ascii="仿宋_GB2312" w:hAnsi="仿宋_GB2312" w:cs="仿宋_GB2312" w:eastAsia="仿宋_GB2312"/>
                <w:sz w:val="18"/>
              </w:rPr>
              <w:t>运维团队不少于7人，其中运维负责人1人，技术运维工程师2人，应用运维工程师2人，安全运维工程师1人，数据运维工程师1人。</w:t>
            </w:r>
          </w:p>
          <w:p>
            <w:pPr>
              <w:pStyle w:val="null3"/>
              <w:ind w:firstLine="560"/>
              <w:jc w:val="both"/>
            </w:pPr>
            <w:r>
              <w:rPr>
                <w:rFonts w:ascii="仿宋_GB2312" w:hAnsi="仿宋_GB2312" w:cs="仿宋_GB2312" w:eastAsia="仿宋_GB2312"/>
                <w:sz w:val="18"/>
              </w:rPr>
              <w:t>四、拟投入本项目的费用测算</w:t>
            </w:r>
          </w:p>
          <w:p>
            <w:pPr>
              <w:pStyle w:val="null3"/>
              <w:ind w:firstLine="560"/>
              <w:jc w:val="both"/>
            </w:pPr>
            <w:r>
              <w:rPr>
                <w:rFonts w:ascii="仿宋_GB2312" w:hAnsi="仿宋_GB2312" w:cs="仿宋_GB2312" w:eastAsia="仿宋_GB2312"/>
                <w:sz w:val="18"/>
              </w:rPr>
              <w:t>本次采购预算86.09万元，包括系统集成费、软件开发费、外部系统对接费、培训费、等保测评费、运维费、税金等完成该项目所需的所有费用。</w:t>
            </w:r>
          </w:p>
          <w:p>
            <w:pPr>
              <w:pStyle w:val="null3"/>
              <w:ind w:firstLine="560"/>
              <w:jc w:val="both"/>
            </w:pPr>
            <w:r>
              <w:rPr>
                <w:rFonts w:ascii="仿宋_GB2312" w:hAnsi="仿宋_GB2312" w:cs="仿宋_GB2312" w:eastAsia="仿宋_GB2312"/>
                <w:sz w:val="18"/>
              </w:rPr>
              <w:t>五、服务质量、标准、期限、效率等要求</w:t>
            </w:r>
          </w:p>
          <w:p>
            <w:pPr>
              <w:pStyle w:val="null3"/>
              <w:ind w:firstLine="536"/>
              <w:jc w:val="both"/>
            </w:pPr>
            <w:r>
              <w:rPr>
                <w:rFonts w:ascii="仿宋_GB2312" w:hAnsi="仿宋_GB2312" w:cs="仿宋_GB2312" w:eastAsia="仿宋_GB2312"/>
                <w:sz w:val="18"/>
              </w:rPr>
              <w:t>1.服务期限：60日历天内完成项目全部内容到达试运行，服务期3年</w:t>
            </w:r>
          </w:p>
          <w:p>
            <w:pPr>
              <w:pStyle w:val="null3"/>
              <w:ind w:firstLine="536"/>
              <w:jc w:val="both"/>
            </w:pPr>
            <w:r>
              <w:rPr>
                <w:rFonts w:ascii="仿宋_GB2312" w:hAnsi="仿宋_GB2312" w:cs="仿宋_GB2312" w:eastAsia="仿宋_GB2312"/>
                <w:sz w:val="18"/>
              </w:rPr>
              <w:t>2.质量标准：合格</w:t>
            </w:r>
          </w:p>
          <w:p>
            <w:pPr>
              <w:pStyle w:val="null3"/>
              <w:ind w:firstLine="536"/>
              <w:jc w:val="both"/>
            </w:pPr>
            <w:r>
              <w:rPr>
                <w:rFonts w:ascii="仿宋_GB2312" w:hAnsi="仿宋_GB2312" w:cs="仿宋_GB2312" w:eastAsia="仿宋_GB2312"/>
                <w:sz w:val="18"/>
              </w:rPr>
              <w:t>3.试运行3个月</w:t>
            </w:r>
          </w:p>
          <w:p>
            <w:pPr>
              <w:pStyle w:val="null3"/>
              <w:ind w:firstLine="536"/>
              <w:jc w:val="both"/>
            </w:pPr>
            <w:r>
              <w:rPr>
                <w:rFonts w:ascii="仿宋_GB2312" w:hAnsi="仿宋_GB2312" w:cs="仿宋_GB2312" w:eastAsia="仿宋_GB2312"/>
                <w:sz w:val="18"/>
              </w:rPr>
              <w:t>4.通过系统化测试，验证平台新增功能、优化升级模块及信创改造内容的功能完整性、性能稳定性、数据准确性、安全合规性及用户易用性，确保平台满足建设目标，即实现网格化环境监管精细化、高效化、规范化，支撑“寸寸土地有人管、件件污染有人查”的业务需求。</w:t>
            </w:r>
          </w:p>
          <w:p>
            <w:pPr>
              <w:pStyle w:val="null3"/>
              <w:ind w:firstLine="560"/>
              <w:jc w:val="both"/>
            </w:pPr>
            <w:r>
              <w:rPr>
                <w:rFonts w:ascii="仿宋_GB2312" w:hAnsi="仿宋_GB2312" w:cs="仿宋_GB2312" w:eastAsia="仿宋_GB2312"/>
                <w:sz w:val="18"/>
              </w:rPr>
              <w:t>六、验收标准</w:t>
            </w:r>
          </w:p>
          <w:p>
            <w:pPr>
              <w:pStyle w:val="null3"/>
              <w:ind w:firstLine="480"/>
              <w:jc w:val="left"/>
            </w:pPr>
            <w:r>
              <w:rPr>
                <w:rFonts w:ascii="仿宋_GB2312" w:hAnsi="仿宋_GB2312" w:cs="仿宋_GB2312" w:eastAsia="仿宋_GB2312"/>
                <w:sz w:val="18"/>
              </w:rPr>
              <w:t>完成系统试运行前的用户培训工作，开始系统试运行及迭代完善工作，提出初步验收申请，业主单位组织验收，满足设计要求，测试合格后，双方签署验收协议，完成初步验收，系统进入试运行阶段。</w:t>
            </w:r>
          </w:p>
          <w:p>
            <w:pPr>
              <w:pStyle w:val="null3"/>
              <w:ind w:firstLine="560"/>
              <w:jc w:val="both"/>
            </w:pPr>
            <w:r>
              <w:rPr>
                <w:rFonts w:ascii="仿宋_GB2312" w:hAnsi="仿宋_GB2312" w:cs="仿宋_GB2312" w:eastAsia="仿宋_GB2312"/>
                <w:sz w:val="18"/>
              </w:rPr>
              <w:t>初验通过后，平台进入3个月试运行阶段，做好对系统的功能、性能、稳定性以及系统的运行效果等各项关键因素进行全面的监测与记录，对出现的问题及时处理并形成系统试运行记录。在试运行期满后组织做好试运行检验，根据检验和记录结果，写出系统试运行报告，做出系统试运行结论，并经甲乙双方签字确认。同时进行项目培训、文档整理等收尾工作。</w:t>
            </w:r>
          </w:p>
          <w:p>
            <w:pPr>
              <w:pStyle w:val="null3"/>
              <w:ind w:firstLine="560"/>
              <w:jc w:val="both"/>
            </w:pPr>
            <w:r>
              <w:rPr>
                <w:rFonts w:ascii="仿宋_GB2312" w:hAnsi="仿宋_GB2312" w:cs="仿宋_GB2312" w:eastAsia="仿宋_GB2312"/>
                <w:sz w:val="18"/>
              </w:rPr>
              <w:t>在完成试运行工作内容后，提交全部相关文档、图纸、报告、代码，向验收小组提出系统最终验收（竣工验收）申请，终验通过后系统方可申请正式上线运行。</w:t>
            </w:r>
          </w:p>
          <w:p>
            <w:pPr>
              <w:pStyle w:val="null3"/>
              <w:ind w:firstLine="560"/>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项目团队人员配置合理，满足项目需求。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项目设施设备配置合理，满足项目需求。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1.供应商需要提供合理的项目整体实施方案，能按照项目分解节点并可跟踪实施。确保按期交付使用。 2.系统业务功能建设模块要求完整、设计合理、科学。 3.项目文档（用户使用手册、维护手册、部署文档、实施过程资料等）完整准确。 4.应具有产品合格证、检测报告以及相应产品的检定证书和其他应具有的单证。 5.在质保期内，项目中涉及的系统软件免费升级，负责全部升级工作，以保证不影响系统的运行。质保期外，免费为采购人提供技术咨询服务，这其中包括：新技术咨询、配置调整、故障解决等。 6.对于其提供的软件系统拥有知识产权或已获得权利人的授权，本项目使用乙方提供的软件不会侵犯第三方的合法权益，否则乙方应当负责处理索赔或涉诉等各项事宜，造成甲方损失的，乙方还应当承担赔偿责任。 7.供应商应履行采购人保密义务。 8.提供针对本项目的培训计划方案，完成技术培训工作，并落实售后服务措施。 9.符合国家相关法律、法规及行业规范及采购要求。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60日历天内完成项目全部内容到达试运行，服务期3年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完成系统试运行前的用户培训工作，开始系统试运行及迭代完善工作，提出初步验收申请，业主单位组织验收，满足设计要求，测试合格后，双方签署验收协议，完成初步验收，系统进入试运行阶段。 初验通过后，平台进入3个月试运行阶段，做好对系统的功能、性能、稳定性以及系统的运行效果等各项关键因素进行全面的监测与记录，对出现的问题及时处理并形成系统试运行记录。在试运行期满后组织做好试运行检验，根据检验和记录结果，写出系统试运行报告，做出系统试运行结论，并经甲乙双方签字确认。同时进行项目培训、文档整理等收尾工作。 在完成试运行工作内容后，提交全部相关文档、图纸、报告、代码，向验收小组提出系统最终验收（竣工验收）申请，终验通过后系统方可申请正式上线运行。 通过系统化测试，验证平台新增功能、优化升级模块及信创改造内容的功能完整性、性能稳定性、数据准确性、安全合规性及用户易用性，确保平台满足建设目标，即实现网格化环境监管精细化、高效化、规范化，支撑“寸寸土地有人管、件件污染有人查”的业务需求。 其他未尽事宜将按照《财政部关于进一步加强政府采购需求和履约验收管理的指导意见》(财库(2016) 205号)、《政府采购需求管理办法》(财库(2021) 22号)的要求及国家行业主管部门规定的标准、方法和内容进行验收。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项目内容全部完成初步验收合格试运行满3个月最终验收合格后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终验合格之日起运维期满3年后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1、中标供应商在中标结果公告发布后3个工作日内提供叁套纸质投标文件（经编标工具生成的文件直接打印并加盖公章），递交的纸质版文件内容确保与线上电子文件保持一致，不允许修改和补充。 2.该项目采购标的对应的中小企业划分标准所属行业为软件和信息技术服务行业。 (软件和信息技术服务行业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3.出具磋商保证金交纳凭证或担保机构出具的保函（未按磋商文件要求提供响应无效）。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1.2提供具有财务审计资质单位出具的2024年度的财务报告或开标前六个月内其基本账户银行出具的资信证明；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1.5提供供应商参加本次政府采购活动前三年内在经营活动中没有重大违法记录的书面声明； 1.6提供具有履行合同所必需的设备和专业技术能力的声明。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磋商响应文件签署、盖章满足磋商文件的要求；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中小企业声明函.docx 残疾人福利性单位声明函 标的清单 报价表 商务应答表.docx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响应文件有效期满足磋商文件的要求，90日历天（自磋商截止之日算起）；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供应商磋商报价未出现选择性报价，磋商报价未超出预算金额或最高限价；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满足或优于采购要求，60日历天内完成项目全部内容到达试运行,服务期3年</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达到国家现行行业验收规范“合格”标准及第三章“磋商项目技术、服务、商务及其他要求”；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响应全部实质性要求，未附加采购人难以接受的条件。</w:t>
            </w:r>
          </w:p>
        </w:tc>
        <w:tc>
          <w:tcPr>
            <w:tcW w:type="dxa" w:w="1661"/>
          </w:tcPr>
          <w:p>
            <w:pPr>
              <w:pStyle w:val="null3"/>
            </w:pPr>
            <w:r>
              <w:rPr>
                <w:rFonts w:ascii="仿宋_GB2312" w:hAnsi="仿宋_GB2312" w:cs="仿宋_GB2312" w:eastAsia="仿宋_GB2312"/>
              </w:rPr>
              <w:t>服务内容及服务邀请应答表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项目重点、难点分析及解决措施</w:t>
            </w:r>
          </w:p>
        </w:tc>
        <w:tc>
          <w:tcPr>
            <w:tcW w:type="dxa" w:w="2492"/>
          </w:tcPr>
          <w:p>
            <w:pPr>
              <w:pStyle w:val="null3"/>
            </w:pPr>
            <w:r>
              <w:rPr>
                <w:rFonts w:ascii="仿宋_GB2312" w:hAnsi="仿宋_GB2312" w:cs="仿宋_GB2312" w:eastAsia="仿宋_GB2312"/>
              </w:rPr>
              <w:t>一、评审内容：根据供应商提供的针对项目重点、难点分析及解决措施，包括但不限于：①项目重难点分析②解决措施③合理化建议等。 二、评审标准： 提供详细、合理、科学可行的方案 ，方案符合本项目采购需求有针对性，以上3项，以序号①、②、③为项数，内容无缺项、无漏项且无缺陷的得9分，其中每有一项内容存在缺项或漏项的扣3分，每项内容中每 有一处存在缺陷的扣0.5分，该项分值扣完为止，未提供不得分。 三、赋分说明：“缺陷”是指套用其他项目方案内容；存在不适用项目实际 情况的情形，可实施性不强；引用 科学原理错误以及无法实现的情形；引用的法律法规、标准（方法）或其他规范性文件错误；语言错误或存在歧义；前后内容不一；逻辑错误；未能体现出本项目的特点或 与本项目实际需求不完全相符，针对性不强；涉及内容无重点或内容 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总体建设方案</w:t>
            </w:r>
          </w:p>
        </w:tc>
        <w:tc>
          <w:tcPr>
            <w:tcW w:type="dxa" w:w="2492"/>
          </w:tcPr>
          <w:p>
            <w:pPr>
              <w:pStyle w:val="null3"/>
            </w:pPr>
            <w:r>
              <w:rPr>
                <w:rFonts w:ascii="仿宋_GB2312" w:hAnsi="仿宋_GB2312" w:cs="仿宋_GB2312" w:eastAsia="仿宋_GB2312"/>
              </w:rPr>
              <w:t>一、评审内容：根据投标人针对本项目制定的总体建设方案进行评审,包括但不限于：①整体设计方案②功能设计方案③安全设计方案等。二、评审标准：提供详细、合理、科学可行的方案 ，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 情况的情形，可实施性不强；引用 科学原理错误以及无法实现的情形；引用的法律法规、标准（方法）或其他规范性文件错误；语言错误或存在歧义；前后内容不一；逻辑错误；未能体现出本项目的特点或 与本项目实际需求不完全相符，针对性不强；涉及内容无重点或内容 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根据投标人针对本项目制定的实施方案进行评审，实施方案包括但不限于：①项目实施计划；②保障与测试方案；③部署与运维方案；④数据迁移方案⑤数据共享方案；⑥安全合规与数据保护方案；⑦组织协调措施；⑧高质量完成项目保证措施等。二、评审标准：提供详细、合理、科学可行的方案，方案符合本项目采购需求有针对性，以上8项，以序号①、②、③、④、⑤、⑥、⑦、⑧为项数，内容无缺项、无漏项且无缺陷的得24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进度组织安排</w:t>
            </w:r>
          </w:p>
        </w:tc>
        <w:tc>
          <w:tcPr>
            <w:tcW w:type="dxa" w:w="2492"/>
          </w:tcPr>
          <w:p>
            <w:pPr>
              <w:pStyle w:val="null3"/>
            </w:pPr>
            <w:r>
              <w:rPr>
                <w:rFonts w:ascii="仿宋_GB2312" w:hAnsi="仿宋_GB2312" w:cs="仿宋_GB2312" w:eastAsia="仿宋_GB2312"/>
              </w:rPr>
              <w:t>一、评审内容：针对本项目的进度组织安排。二、评审标准：提供详细、合理、科学可行的方案，方案符合本项目采购需求有针对性，得3分；内容存在缺陷扣0.5分；该项分值扣完为止，未提供不得分。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 与本项目实际需求不完全相符，针对性不强；涉及内容无重点或内容 不够详细以及其他情形。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一、评审内容：针对本项目的质量保证措施，包括但不限于：①质量保障措施及方案；②质量管理体系；③质量控制目标等。二、评审标准： 提供详细、合理、科学可行的方案 ，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 与本项目实际需求不完全相符，针对性不强；涉及内容无重点或内容 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一、评审内容：供应商须针对本项目和采购人实际需求提供培训方案。包括但不限于：①培训对象和内容②培训方式③培训日程安排等。二、评审标准： 提供详细、合理、科学可行的方案 ，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本项目相关专业中级职称得1分，相关专业高级职称得2分。不提供不得分（需提供证书复印件加盖单位公章，同时需提供项目负责人近1个月交纳社会保险的凭据复印件加盖单位公章，社保缴纳单位必须与投标单位名称一致）</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一、评审内容：提供针对本项目有完善的项目实施团队及组织管理方案。包括但不限于：①项目设有项目负责人及技术团队，人员分工合理②各岗位管理制度③工作职责等。 二、评审标准： 提供详细、合理、科学可行的方案 ，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一：评审内容：供应商提供针对本项目的保密承诺及措施。 二、评审标准：提供详细、合理、科学可行的承诺及措施，得3分；内容存在缺陷扣0.5分；该项分值扣完为止，未提供不得分。 三、赋分说明：“缺陷”是指套用其他项目方案内容；存在 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 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一、评审内容：服务承诺，包括不限于：①服务质量及数据准确性的承诺②故障处理及软件升级服务；③应急故障响应时间等。 二、评审标准：提供详细、 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提供自2022年10月至投标截止时间类似项目业绩，每提供一个业绩得2分，最高得10分。 （提供合同复印件或中标（成交）通知书复印件加盖公章。如提供中标（成交）通知书，以中标（成交）通知书发放时间为准；如提供合同，以合同签订日期为准。）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价格分采用低价优先法计算，即满足磋商文件要求且投标价格最低的投标报价为评标基准价，其价格分为满分。其他供应商的价格分统一按照下列公式计算： 投标报价得分=（评标基准价/有效报价）×价格权重（10%）×100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