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版本号：ZCSP-渭南市-2025-0080220251103001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2025年渭南城区老旧灯具更换工程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ZCSP-渭南市-2025-00802</w:t>
      </w:r>
      <w:r>
        <w:br/>
      </w:r>
      <w:r>
        <w:br/>
      </w:r>
      <w:r>
        <w:br/>
      </w:r>
    </w:p>
    <w:p>
      <w:pPr>
        <w:pStyle w:val="null3"/>
        <w:jc w:val="center"/>
        <w:outlineLvl w:val="2"/>
      </w:pPr>
      <w:r>
        <w:rPr>
          <w:rFonts w:ascii="仿宋_GB2312" w:hAnsi="仿宋_GB2312" w:cs="仿宋_GB2312" w:eastAsia="仿宋_GB2312"/>
          <w:sz w:val="28"/>
          <w:b/>
        </w:rPr>
        <w:t>渭南市路灯管理站</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渭南市路灯管理站</w:t>
      </w:r>
      <w:r>
        <w:rPr>
          <w:rFonts w:ascii="仿宋_GB2312" w:hAnsi="仿宋_GB2312" w:cs="仿宋_GB2312" w:eastAsia="仿宋_GB2312"/>
        </w:rPr>
        <w:t>委托，拟对</w:t>
      </w:r>
      <w:r>
        <w:rPr>
          <w:rFonts w:ascii="仿宋_GB2312" w:hAnsi="仿宋_GB2312" w:cs="仿宋_GB2312" w:eastAsia="仿宋_GB2312"/>
        </w:rPr>
        <w:t>2025年渭南城区老旧灯具更换工程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2025年渭南城区老旧灯具更换工程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拟对渭南城区部分路段（渭清路（东风街至渭富大桥）、三贤路（乐天大街至渭华大街）、渭清路（东风街至朝阳立交）、渭富大桥、渭河大街（渭清路至仓程路）、政通路）老旧灯具进行更换。 本项目划分为两个采购包，分别为： 采购包1：渭清路（东风街至渭富大桥）、三贤路（乐天大街至渭华大街）路段老旧灯具更换改造； 采购包2：渭清路（东风街至朝阳立交）、渭富大桥、渭河大街（渭清路至仓程路）、政通路路段老旧灯具更换改造。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采购包1（2025年渭南城区老旧灯具更换工程采购包1）：属于专门面向中小企业采购。</w:t>
      </w:r>
    </w:p>
    <w:p>
      <w:pPr>
        <w:pStyle w:val="null3"/>
      </w:pPr>
      <w:r>
        <w:rPr>
          <w:rFonts w:ascii="仿宋_GB2312" w:hAnsi="仿宋_GB2312" w:cs="仿宋_GB2312" w:eastAsia="仿宋_GB2312"/>
        </w:rPr>
        <w:t>采购包2（2025年渭南城区老旧灯具更换工程采购包2）：属于专门面向中小企业采购。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连续三个月的本单位社保缴纳证明）；</w:t>
      </w:r>
    </w:p>
    <w:p>
      <w:pPr>
        <w:pStyle w:val="null3"/>
      </w:pPr>
      <w:r>
        <w:rPr>
          <w:rFonts w:ascii="仿宋_GB2312" w:hAnsi="仿宋_GB2312" w:cs="仿宋_GB2312" w:eastAsia="仿宋_GB2312"/>
        </w:rPr>
        <w:t>2、资质证书及安全生产许可证：供应商须具备市政公用工程施工总承包三级及以上资质或城市及道路照明工程专业三级及以上资质，并具有有效的安全生产许可证。</w:t>
      </w:r>
    </w:p>
    <w:p>
      <w:pPr>
        <w:pStyle w:val="null3"/>
      </w:pPr>
      <w:r>
        <w:rPr>
          <w:rFonts w:ascii="仿宋_GB2312" w:hAnsi="仿宋_GB2312" w:cs="仿宋_GB2312" w:eastAsia="仿宋_GB2312"/>
        </w:rPr>
        <w:t>3、拟派项目负责人资质和专业要求：拟派项目负责人须具有市政公用工程（或机电工程）专业二级及以上注册建造师执业资格并具有有效的安全生产考核合格证，且未担任其他在建项目的项目负责人（须提供无在建工程承诺书）；</w:t>
      </w:r>
    </w:p>
    <w:p>
      <w:pPr>
        <w:pStyle w:val="null3"/>
      </w:pPr>
      <w:r>
        <w:rPr>
          <w:rFonts w:ascii="仿宋_GB2312" w:hAnsi="仿宋_GB2312" w:cs="仿宋_GB2312" w:eastAsia="仿宋_GB2312"/>
        </w:rPr>
        <w:t>4、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证明书或授权委托书：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连续三个月的本单位社保缴纳证明）；</w:t>
      </w:r>
    </w:p>
    <w:p>
      <w:pPr>
        <w:pStyle w:val="null3"/>
      </w:pPr>
      <w:r>
        <w:rPr>
          <w:rFonts w:ascii="仿宋_GB2312" w:hAnsi="仿宋_GB2312" w:cs="仿宋_GB2312" w:eastAsia="仿宋_GB2312"/>
        </w:rPr>
        <w:t>2、资质证书及安全生产许可证：供应商须具备市政公用工程施工总承包三级及以上资质或城市及道路照明工程专业三级及以上资质，并具有有效的安全生产许可证。</w:t>
      </w:r>
    </w:p>
    <w:p>
      <w:pPr>
        <w:pStyle w:val="null3"/>
      </w:pPr>
      <w:r>
        <w:rPr>
          <w:rFonts w:ascii="仿宋_GB2312" w:hAnsi="仿宋_GB2312" w:cs="仿宋_GB2312" w:eastAsia="仿宋_GB2312"/>
        </w:rPr>
        <w:t>3、拟派项目负责人资质和专业要求：拟派项目负责人须具有市政公用工程（或机电工程）专业二级及以上注册建造师执业资格并具有有效的安全生产考核合格证，且未担任其他在建项目的项目负责人（须提供无在建工程承诺书）；</w:t>
      </w:r>
    </w:p>
    <w:p>
      <w:pPr>
        <w:pStyle w:val="null3"/>
      </w:pPr>
      <w:r>
        <w:rPr>
          <w:rFonts w:ascii="仿宋_GB2312" w:hAnsi="仿宋_GB2312" w:cs="仿宋_GB2312" w:eastAsia="仿宋_GB2312"/>
        </w:rPr>
        <w:t>4、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渭南市路灯管理站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李玉富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0913-2076104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采购包1：761,107.43元</w:t>
            </w:r>
          </w:p>
          <w:p>
            <w:pPr>
              <w:pStyle w:val="null3"/>
            </w:pPr>
            <w:r>
              <w:rPr>
                <w:rFonts w:ascii="仿宋_GB2312" w:hAnsi="仿宋_GB2312" w:cs="仿宋_GB2312" w:eastAsia="仿宋_GB2312"/>
              </w:rPr>
              <w:t>采购包2：579,847.46元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代理服务费金额：参照《国家发展改革委关于降低部分建设项目收费标准规范收费行为等有关问题的通知》（发改价格〔2011〕534号）文件的标准计算，下浮20%收取；造价咨询服务费：按照《陕西省物价局 陕西省住房和建设厅关于我省工程造价服务收费标准有关问题的通知》（陕价行发[2014]88号）文件的标准计算，下浮20%收取。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渭南市路灯管理站</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渭南市路灯管理站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渭南市路灯管理站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2）本工程验收标准应符合国家相关工程管理规定及行业标准。（3）依据磋商文件及成交人响应文件及签证单等文件内容进行验收。（4）供应商严格执行安全措施和交通组织措施，以保证施工及过往行人人身安全，杜绝安全事故的发生，因施工原因造成安全事故的责任和损失由成交人自行承担，采购人概不负责任和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工程应按工程量清单及磋商文件全部内容完成。（2）本工程验收标准应符合国家相关工程管理规定及行业标准。（3）依据磋商文件及成交人响应文件及签证单等文件内容进行验收。（4）供应商严格执行安全措施和交通组织措施，以保证施工及过往行人人身安全，杜绝安全事故的发生，因施工原因造成安全事故的责任和损失由成交人自行承担，采购人概不负责任和赔偿。</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761,107.43</w:t>
      </w:r>
    </w:p>
    <w:p>
      <w:pPr>
        <w:pStyle w:val="null3"/>
      </w:pPr>
      <w:r>
        <w:rPr>
          <w:rFonts w:ascii="仿宋_GB2312" w:hAnsi="仿宋_GB2312" w:cs="仿宋_GB2312" w:eastAsia="仿宋_GB2312"/>
        </w:rPr>
        <w:t>采购包最高限价（元）: 761,107.43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2025年渭南城区老旧灯具更换工程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761,107.43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579,847.46</w:t>
      </w:r>
    </w:p>
    <w:p>
      <w:pPr>
        <w:pStyle w:val="null3"/>
      </w:pPr>
      <w:r>
        <w:rPr>
          <w:rFonts w:ascii="仿宋_GB2312" w:hAnsi="仿宋_GB2312" w:cs="仿宋_GB2312" w:eastAsia="仿宋_GB2312"/>
        </w:rPr>
        <w:t>采购包最高限价（元）: 579,847.46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2025年渭南城区老旧灯具更换工程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579,847.46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标的名称：2025年渭南城区老旧灯具更换工程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标的名称：2025年渭南城区老旧灯具更换工程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1.灯壳要求：高强度航空级6063-T5铝合金材质。表面经铬化处理后静电喷涂户外专用塑粉，（塑粉颜色与现场杆体颜色相同）经高温固化，防腐20年以上。灯壳使用寿命不低于20年； 2.色温：4000K±150K； 3,灯具光效：＞170LM/W； 4.使用环境温度：-40℃~55℃； 5.防触电保护形式：I 类； 6.显色指数：＞70； 7.灯具功率因数：＞0.95； 8.光源芯片要求：性能优越，质量稳定，光源在工作结温下的L70寿命（累计亮灯时间）应大于60000小时； 9.驱动电源要求：选用知名品牌驱动，具有调光功能；额定电压±20%范围内正常工作；电磁兼容、限值、谐波电流发射限值符合GB17625.1要求； 10.灯具浪涌要求：灯具需配备不低于10KV浪涌保护； 11.LED灯具寿命：≥50000小时，以国家级灯具检测中心出具检测报告为准； 12.LED灯具光通维持率：所投灯具需具有10000小时光通维持率报告，且不小于98%，以国家级灯具检测中心出具检测报告为准； 13.灯具防护等级：≥IP66； 14.灯具防碰撞等级：IK08； 15.灯具结构特殊要求：采用一键开启式工艺，电源与模组之间用国标快插接头连接，便于后期维修；外置超白钢化玻璃罩，具有自洁功能；同时光源仓配置呼吸器，平衡腔体内外压力，消除腔体内雾气和结雾，确保灯具光通输出及LED使用寿命； 16.灯具自带防坠落装置以提高安全保障，灯壳可免工具徒手打开以方便检修和维护，光源模组可简易工具安装拆换； 其他要求： 1、灯具所有紧固件部分，为不锈钢材质紧固件，需保证户外使用10年无生锈现象； 2、中标方灯具生产前需根据甲方实际测量安装路段道路宽度、路型、灯高、臂长、灯距制定相匹配的灯具配光方案，确实安装路灯照度达标。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3.3.1商务补充要求： （1）合同履行期限：自合同签订之日起40日历天。 （2）项目实施地点：渭南城区部分路段。 （3）质量标准：合格。 （4）质保期：自工程竣工验收合格之日起两年。 （5）付款进度安排及方式：合同签订后支付40%预付款；完成全部工程量，竣工验收合格后甲方支付乙方合同价款90%的工程进度款；结算审计后支付剩余工程进度款，所有价款均不计息。 3.3.2磋商保证金注意事项： （1）以转账、支票、汇票等方式递交磋商保证金的，须从供应商户名支付（需备注采购项目名称及采购包号），如从个人户名或非供应商户名支付，将被拒绝，视为自动放弃投标权利；磋商保证金以采购代理机构到账凭证为准，供应商需更换交纳凭证，由采购代理机构统一提供保证金收据；供应商应在磋商文件中附收据复印件。 （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（2）提供具备履行合同所必需的设备和专业技术能力的承诺； （3）有依法缴纳税收的记录，提供供应商2024年10月以来任意一个月的依法缴纳税收凭据或完税证明（依法免税的供应商应提供相关文件证明）； （4）有依法缴纳社会保障资金的记录，提供供应商2024年10月以来任意一个月的社会保障资金缴存单据或社保机构开具的社会保险参保缴费情况证明（依法不需要缴纳社会保障资金的供应商应提供相关文件证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（2）提供具备履行合同所必需的设备和专业技术能力的承诺； （3）有依法缴纳税收的记录，提供供应商2024年10月以来任意一个月的依法缴纳税收凭据或完税证明（依法免税的供应商应提供相关文件证明）； （4）有依法缴纳社会保障资金的记录，提供供应商2024年10月以来任意一个月的社会保障资金缴存单据或社保机构开具的社会保险参保缴费情况证明（依法不需要缴纳社会保障资金的供应商应提供相关文件证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参与的供应商工程为符合政策要求的中小企业。 本项目专门面向中小企业采购，供应商应为中型、小型或微型企业（残疾人福利性企业及监狱企业视同为小型、微型企业），提供中小企业声明函。所属行业：建筑业。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参与的供应商为符合政策要求的中小企业。 本项目专门面向中小企业采购，供应商应为中型、小型或微型企业（残疾人福利性企业及监狱企业视同为小型、微型企业），提供中小企业声明函。所属行业：建筑业。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连续三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供应商须具备市政公用工程施工总承包三级及以上资质或城市及道路照明工程专业三级及以上资质，并具有有效的安全生产许可证。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拟派项目负责人须具有市政公用工程（或机电工程）专业二级及以上注册建造师执业资格并具有有效的安全生产考核合格证，且未担任其他在建项目的项目负责人（须提供无在建工程承诺书）；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连续三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供应商须具备市政公用工程施工总承包三级及以上资质或城市及道路照明工程专业三级及以上资质，并具有有效的安全生产许可证。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拟派项目负责人须具有市政公用工程（或机电工程）专业二级及以上注册建造师执业资格并具有有效的安全生产考核合格证，且未担任其他在建项目的项目负责人（须提供无在建工程承诺书）；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合同签订之日起40日历天</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自工程竣工验收合格之日起两年</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合同签订之日起40日历天</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自工程竣工验收合格之日起两年</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方案内容齐全且对施工具有较高的指导性，得6分；方案内容每缺1项扣2分；方案每存在1处缺陷（非针对本项目、内容不完整、指导性不强）扣1分；扣完为止。未提供方案不得分。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机构设置、岗位安排合理、团队人员专业性强，得6分；方案内容每缺1项扣1.5分；方案每存在1处缺陷（非机构设置不合理、岗位配置不健全、人员专业程度差）扣1分；扣完为止。未提供不得分。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方案内容齐全、方案针对性强、对本项目事故防范具有较高的指导性，得6分；方案内容每缺1项扣2分；方案每存在1处缺陷（非针对本项目、计划合理性差、应急预案可靠性差）扣1分；扣完为止。未提供不得分。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方案内容齐全、方案针对性强、对本项目施工具有较高的指导性，得3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灯具技术参数</w:t>
            </w:r>
          </w:p>
        </w:tc>
        <w:tc>
          <w:tcPr>
            <w:tcW w:type="dxa" w:w="2492"/>
          </w:tcPr>
          <w:p>
            <w:pPr>
              <w:pStyle w:val="null3"/>
            </w:pPr>
            <w:r>
              <w:rPr>
                <w:rFonts w:ascii="仿宋_GB2312" w:hAnsi="仿宋_GB2312" w:cs="仿宋_GB2312" w:eastAsia="仿宋_GB2312"/>
              </w:rPr>
              <w:t>参数无偏离得4分，每正偏离1项加0.5分，每负偏离1项扣1分。 灯具为节能产品经国家认证的加0.5分。（以经国家确定的认证机构出具的、处于有效期内的节能产品认证证书为准。）此项最高得6分，最低得0分。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供应商具有2020年10月1日至今（合同签订时间为准）的类似项目业绩，响应文件中提供合同复印件加盖公章,每提供一个计1分，满分5分。注：以合同复印件为准。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(2)满足竞争性磋商文件要求且磋商价格最低的最终磋商报价为磋商基准价，得满分40分； (3)磋商报价得分=(磋商基准价／最终磋商报价)×40%×100。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方案内容齐全且对施工具有较高的指导性，得6分；方案内容每缺1项扣2分；方案每存在1处缺陷（非针对本项目、内容不完整、指导性不强）扣1分；扣完为止。未提供方案不得分。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机构设置、岗位安排合理、团队人员专业性强，得6分；方案内容每缺1项扣1.5分；方案每存在1处缺陷（非机构设置不合理、岗位配置不健全、人员专业程度差）扣1分；扣完为止。未提供不得分。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安全生产目标明确，措施得当，对本项目安全生产、文明施工具有较高的指导性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体系健全、措施得当，对本项目具有较高的指导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方案内容齐全、方案针对性强、对本项目事故防范具有较高的指导性，得6分；方案内容每缺1项扣2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方案内容齐全、方案针对性强、对本项目施工具有较高的指导性，得3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灯具技术参数</w:t>
            </w:r>
          </w:p>
        </w:tc>
        <w:tc>
          <w:tcPr>
            <w:tcW w:type="dxa" w:w="2492"/>
          </w:tcPr>
          <w:p>
            <w:pPr>
              <w:pStyle w:val="null3"/>
            </w:pPr>
            <w:r>
              <w:rPr>
                <w:rFonts w:ascii="仿宋_GB2312" w:hAnsi="仿宋_GB2312" w:cs="仿宋_GB2312" w:eastAsia="仿宋_GB2312"/>
              </w:rPr>
              <w:t>参数无偏离得4分，每正偏离1项加0.5分，每负偏离1项扣1分。 灯具为节能产品经国家认证的加0.5分。（以经国家确定的认证机构出具的、处于有效期内的节能产品认证证书为准。）此项最高得6分，最低得0分。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供应商具有2020年10月1日至今（合同签订时间为准）的类似项目业绩，响应文件中提供合同复印件加盖公章,每提供一个计1分，满分5分。注：以合同复印件为准。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(2)满足竞争性磋商文件要求且磋商价格最低的最终磋商报价为磋商基准价，得满分40分； (3)磋商报价得分=(磋商基准价／最终磋商报价)×40%×100。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详见附件：路灯工程改造工程合同（采购包1-2）.docx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