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版本号：ZCSP-渭南市-2025-00780-ZK25（CG）0101720251105001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2025年度渭南市中心城区标定地价更新项目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ZCSP-渭南市-2025-00780-ZK25（CG）01017</w:t>
      </w:r>
      <w:r>
        <w:br/>
      </w:r>
      <w:r>
        <w:br/>
      </w:r>
      <w:r>
        <w:br/>
      </w:r>
    </w:p>
    <w:p>
      <w:pPr>
        <w:pStyle w:val="null3"/>
        <w:jc w:val="center"/>
        <w:outlineLvl w:val="2"/>
      </w:pPr>
      <w:r>
        <w:rPr>
          <w:rFonts w:ascii="仿宋_GB2312" w:hAnsi="仿宋_GB2312" w:cs="仿宋_GB2312" w:eastAsia="仿宋_GB2312"/>
          <w:sz w:val="28"/>
          <w:b/>
        </w:rPr>
        <w:t>渭南市自然资源和规划局</w:t>
      </w:r>
    </w:p>
    <w:p>
      <w:pPr>
        <w:pStyle w:val="null3"/>
        <w:jc w:val="center"/>
        <w:outlineLvl w:val="2"/>
      </w:pPr>
      <w:r>
        <w:rPr>
          <w:rFonts w:ascii="仿宋_GB2312" w:hAnsi="仿宋_GB2312" w:cs="仿宋_GB2312" w:eastAsia="仿宋_GB2312"/>
          <w:sz w:val="28"/>
          <w:b/>
        </w:rPr>
        <w:t>正凯建设项目管理有限公司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正凯建设项目管理有限公司</w:t>
      </w:r>
      <w:r>
        <w:rPr>
          <w:rFonts w:ascii="仿宋_GB2312" w:hAnsi="仿宋_GB2312" w:cs="仿宋_GB2312" w:eastAsia="仿宋_GB2312"/>
        </w:rPr>
        <w:t>（以下简称“代理机构”）受</w:t>
      </w:r>
      <w:r>
        <w:rPr>
          <w:rFonts w:ascii="仿宋_GB2312" w:hAnsi="仿宋_GB2312" w:cs="仿宋_GB2312" w:eastAsia="仿宋_GB2312"/>
        </w:rPr>
        <w:t>渭南市自然资源和规划局</w:t>
      </w:r>
      <w:r>
        <w:rPr>
          <w:rFonts w:ascii="仿宋_GB2312" w:hAnsi="仿宋_GB2312" w:cs="仿宋_GB2312" w:eastAsia="仿宋_GB2312"/>
        </w:rPr>
        <w:t>委托，拟对</w:t>
      </w:r>
      <w:r>
        <w:rPr>
          <w:rFonts w:ascii="仿宋_GB2312" w:hAnsi="仿宋_GB2312" w:cs="仿宋_GB2312" w:eastAsia="仿宋_GB2312"/>
        </w:rPr>
        <w:t>2025年度渭南市中心城区标定地价更新项目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ZCSP-渭南市-2025-00780-ZK25（CG）01017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2025年度渭南市中心城区标定地价更新项目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根据《陕西省自然资源厅关于开展2025年度城镇标定地价更新和城市地价动态监测工作的通知》安排，现需开展2025年度渭南市中心城区标定地价更新项目工作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采购包1（2025年度渭南市中心城区标定地价更新项目）：属于专门面向中小企业采购。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1、供应商基本情况：供应商须具备独立承担民事责任能力的法人或其他组织，并出具合法有效的营业执照（含2024年年度报告）</w:t>
      </w:r>
    </w:p>
    <w:p>
      <w:pPr>
        <w:pStyle w:val="null3"/>
      </w:pPr>
      <w:r>
        <w:rPr>
          <w:rFonts w:ascii="仿宋_GB2312" w:hAnsi="仿宋_GB2312" w:cs="仿宋_GB2312" w:eastAsia="仿宋_GB2312"/>
        </w:rPr>
        <w:t>2、法定代表人身份证明或法定代表人授权委托书：法定代表人身份证明或法定代表人授权委托书：法定代表人参加的，须提供本人身份证复印件加盖公章并出示身份证原件；法定代表人授权他人参加的，须提供法定代表人委托授权书原件加盖公章，并出示被授权代表身份证原件及复印件加盖公章和近三个月的社保缴纳证明加盖公章</w:t>
      </w:r>
    </w:p>
    <w:p>
      <w:pPr>
        <w:pStyle w:val="null3"/>
      </w:pPr>
      <w:r>
        <w:rPr>
          <w:rFonts w:ascii="仿宋_GB2312" w:hAnsi="仿宋_GB2312" w:cs="仿宋_GB2312" w:eastAsia="仿宋_GB2312"/>
        </w:rPr>
        <w:t>3、供应商资质：供应商需为自然资源部或陕西省自然资源厅备案确认的土地评估机构，并提供相关证明</w:t>
      </w:r>
    </w:p>
    <w:p>
      <w:pPr>
        <w:pStyle w:val="null3"/>
      </w:pPr>
      <w:r>
        <w:rPr>
          <w:rFonts w:ascii="仿宋_GB2312" w:hAnsi="仿宋_GB2312" w:cs="仿宋_GB2312" w:eastAsia="仿宋_GB2312"/>
        </w:rPr>
        <w:t>4、项目负责人：需具备土地估价师或房地产估价师执业资格，并提供负责人在本单位近三个月的社保缴纳证明</w:t>
      </w:r>
    </w:p>
    <w:p>
      <w:pPr>
        <w:pStyle w:val="null3"/>
      </w:pPr>
      <w:r>
        <w:rPr>
          <w:rFonts w:ascii="仿宋_GB2312" w:hAnsi="仿宋_GB2312" w:cs="仿宋_GB2312" w:eastAsia="仿宋_GB2312"/>
        </w:rPr>
        <w:t>5、财务状况证明：提供2024年度，经会计师事务所或审计机构审计的财务会计报告，包括财务审计报告、资产负债表、现金流量表、利润表、所有者权益表和财务情况说明书或供应商基本存款账户开户银行出具开标日期前六个月内资信证明及基本存款账户开户许可证（基本账户信息表）。（若成立时间至提交响应文件截止时间不足一年的可提供成立后财务报表，包含资产负债表、现金流量表、利润表、所有者权益表）</w:t>
      </w:r>
    </w:p>
    <w:p>
      <w:pPr>
        <w:pStyle w:val="null3"/>
      </w:pPr>
      <w:r>
        <w:rPr>
          <w:rFonts w:ascii="仿宋_GB2312" w:hAnsi="仿宋_GB2312" w:cs="仿宋_GB2312" w:eastAsia="仿宋_GB2312"/>
        </w:rPr>
        <w:t>6、税收缴纳证明：2025年1月至今已缴纳的至少三个月纳税证明或完税证明。依法免税的单位应提供相关证明材料</w:t>
      </w:r>
    </w:p>
    <w:p>
      <w:pPr>
        <w:pStyle w:val="null3"/>
      </w:pPr>
      <w:r>
        <w:rPr>
          <w:rFonts w:ascii="仿宋_GB2312" w:hAnsi="仿宋_GB2312" w:cs="仿宋_GB2312" w:eastAsia="仿宋_GB2312"/>
        </w:rPr>
        <w:t>7、社会保障资金缴纳证明：2025年1月至今已缴纳的至少三个月的社会保障资金缴存单据或社保机构开具的社会保险参保缴费情况证明，单据或证明上应有社保机构或代收机构的公章。依法不需要缴纳社会保障资金的供应商应提供相关文件证明资料</w:t>
      </w:r>
    </w:p>
    <w:p>
      <w:pPr>
        <w:pStyle w:val="null3"/>
      </w:pPr>
      <w:r>
        <w:rPr>
          <w:rFonts w:ascii="仿宋_GB2312" w:hAnsi="仿宋_GB2312" w:cs="仿宋_GB2312" w:eastAsia="仿宋_GB2312"/>
        </w:rPr>
        <w:t>8、没有重大违法记录的书面声明：供应商应出具参加政府采购活动前3年内在经营活动中没有重大违法记录的书面声明</w:t>
      </w:r>
    </w:p>
    <w:p>
      <w:pPr>
        <w:pStyle w:val="null3"/>
      </w:pPr>
      <w:r>
        <w:rPr>
          <w:rFonts w:ascii="仿宋_GB2312" w:hAnsi="仿宋_GB2312" w:cs="仿宋_GB2312" w:eastAsia="仿宋_GB2312"/>
        </w:rPr>
        <w:t>9、合同履约能力：供应商具有履行合同所必需的设备和专业技术能力</w:t>
      </w:r>
    </w:p>
    <w:p>
      <w:pPr>
        <w:pStyle w:val="null3"/>
      </w:pPr>
      <w:r>
        <w:rPr>
          <w:rFonts w:ascii="仿宋_GB2312" w:hAnsi="仿宋_GB2312" w:cs="仿宋_GB2312" w:eastAsia="仿宋_GB2312"/>
        </w:rPr>
        <w:t>10、信用中国网、中国政府采购网查询情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11、供应商关系关联情况：单位负责人为同一人或者存在直接控股、管理关系的不同供应商，不得参加同一合同项下的政府采购活动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渭南市自然资源和规划局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渭南市自然资源和规划局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侯海妮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0913-2931661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正凯建设项目管理有限公司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渭南市朝阳大街2号恒生国际大厦A座505室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郭晓毅、张薇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0913-2021966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以成交金额为计价依据，由成交供应商在领取《成交通知书》时参照原“国家发展计划委员会2002-10-01文件“计价格〔2002〕1980号”关于印发《招标代理服务收费管理暂行办法》的通知收费标准，一次性向采购代理机构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渭南市自然资源和规划局</w:t>
      </w:r>
      <w:r>
        <w:rPr>
          <w:rFonts w:ascii="仿宋_GB2312" w:hAnsi="仿宋_GB2312" w:cs="仿宋_GB2312" w:eastAsia="仿宋_GB2312"/>
        </w:rPr>
        <w:t>和</w:t>
      </w:r>
      <w:r>
        <w:rPr>
          <w:rFonts w:ascii="仿宋_GB2312" w:hAnsi="仿宋_GB2312" w:cs="仿宋_GB2312" w:eastAsia="仿宋_GB2312"/>
        </w:rPr>
        <w:t>正凯建设项目管理有限公司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渭南市自然资源和规划局</w:t>
      </w:r>
      <w:r>
        <w:rPr>
          <w:rFonts w:ascii="仿宋_GB2312" w:hAnsi="仿宋_GB2312" w:cs="仿宋_GB2312" w:eastAsia="仿宋_GB2312"/>
        </w:rPr>
        <w:t>负责解释。除上述磋商文件内容，其他内容由</w:t>
      </w:r>
      <w:r>
        <w:rPr>
          <w:rFonts w:ascii="仿宋_GB2312" w:hAnsi="仿宋_GB2312" w:cs="仿宋_GB2312" w:eastAsia="仿宋_GB2312"/>
        </w:rPr>
        <w:t>正凯建设项目管理有限公司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渭南市自然资源和规划局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正凯建设项目管理有限公司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《中华人民共和国资产评估法》和《标定地价规程》（TD/T 1052-2017）及《陕西省城镇标定地价体系建设技术方案》（第二版）。</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正凯建设项目管理有限公司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正凯建设项目管理有限公司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正凯建设项目管理有限公司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联系人：郭晓毅、张薇</w:t>
      </w:r>
    </w:p>
    <w:p>
      <w:pPr>
        <w:pStyle w:val="null3"/>
      </w:pPr>
      <w:r>
        <w:rPr>
          <w:rFonts w:ascii="仿宋_GB2312" w:hAnsi="仿宋_GB2312" w:cs="仿宋_GB2312" w:eastAsia="仿宋_GB2312"/>
        </w:rPr>
        <w:t>联系电话：0913-2021966</w:t>
      </w:r>
    </w:p>
    <w:p>
      <w:pPr>
        <w:pStyle w:val="null3"/>
      </w:pPr>
      <w:r>
        <w:rPr>
          <w:rFonts w:ascii="仿宋_GB2312" w:hAnsi="仿宋_GB2312" w:cs="仿宋_GB2312" w:eastAsia="仿宋_GB2312"/>
        </w:rPr>
        <w:t>地址：渭南市朝阳大街2号恒生国际大厦A座505室</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color w:val="000000"/>
        </w:rPr>
        <w:t>开展</w:t>
      </w:r>
      <w:r>
        <w:rPr>
          <w:rFonts w:ascii="仿宋_GB2312" w:hAnsi="仿宋_GB2312" w:cs="仿宋_GB2312" w:eastAsia="仿宋_GB2312"/>
          <w:sz w:val="21"/>
          <w:color w:val="000000"/>
        </w:rPr>
        <w:t>2025年度渭南市中心城区标定地价更新工作，在土地级别或均质地域基础上划定标准区域，设立各类用地（住宅、商业、工业等）标准宗地，跟踪标准宗地及其所在标定区域的的地价影响因素变化，采用规范的评估方法，评估标准宗地的标定地价，按约定内容向社会公布，形成区域内土地市场的正常价格参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2025年度渭南市中心城区标定地价更新项目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标的名称：2025年度渭南市中心城区标定地价更新项目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000000"/>
              </w:rPr>
              <w:t>采购内容：开展</w:t>
            </w:r>
            <w:r>
              <w:rPr>
                <w:rFonts w:ascii="仿宋_GB2312" w:hAnsi="仿宋_GB2312" w:cs="仿宋_GB2312" w:eastAsia="仿宋_GB2312"/>
                <w:sz w:val="21"/>
                <w:color w:val="000000"/>
              </w:rPr>
              <w:t>2025年度渭南市中心城区标定地价更新工作，在土地级别或均质地域基础上划定标准区域，设立各类用地（住宅、商业、工业等）标准宗地，跟踪标准宗地及其所在标定区域的的地价影响因素变化，采用规范的评估方法，评估标准宗地的标定地价，按约定内容向社会公布，形成区域内土地市场的正常价格参考。</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color w:val="000000"/>
              </w:rPr>
              <w:t>功能要求：根据《陕西省自然资源厅关于开展</w:t>
            </w:r>
            <w:r>
              <w:rPr>
                <w:rFonts w:ascii="仿宋_GB2312" w:hAnsi="仿宋_GB2312" w:cs="仿宋_GB2312" w:eastAsia="仿宋_GB2312"/>
                <w:sz w:val="21"/>
                <w:color w:val="000000"/>
              </w:rPr>
              <w:t>2025年度城镇标定地价更新和城市地价动态监测工作的通知》安排，现需开展2025年度渭南市中心城区标定地价更新项目工作。</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color w:val="000000"/>
              </w:rPr>
              <w:t>服务期限：合同签订后</w:t>
            </w:r>
            <w:r>
              <w:rPr>
                <w:rFonts w:ascii="仿宋_GB2312" w:hAnsi="仿宋_GB2312" w:cs="仿宋_GB2312" w:eastAsia="仿宋_GB2312"/>
                <w:sz w:val="21"/>
                <w:color w:val="000000"/>
              </w:rPr>
              <w:t>60日内完成全部工作任务，形成工作成果。</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color w:val="000000"/>
              </w:rPr>
              <w:t>服务地点：</w:t>
            </w:r>
            <w:r>
              <w:rPr>
                <w:rFonts w:ascii="仿宋_GB2312" w:hAnsi="仿宋_GB2312" w:cs="仿宋_GB2312" w:eastAsia="仿宋_GB2312"/>
                <w:sz w:val="21"/>
                <w:color w:val="000000"/>
              </w:rPr>
              <w:t>渭南市城区。</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spacing w:before="60"/>
              <w:jc w:val="left"/>
            </w:pPr>
            <w:r>
              <w:rPr>
                <w:rFonts w:ascii="仿宋_GB2312" w:hAnsi="仿宋_GB2312" w:cs="仿宋_GB2312" w:eastAsia="仿宋_GB2312"/>
                <w:sz w:val="21"/>
                <w:color w:val="000000"/>
              </w:rPr>
              <w:t>需执行的国家相关标准、行业标准、地方标准或者其他标准、规范标准：</w:t>
            </w:r>
            <w:r>
              <w:rPr>
                <w:rFonts w:ascii="仿宋_GB2312" w:hAnsi="仿宋_GB2312" w:cs="仿宋_GB2312" w:eastAsia="仿宋_GB2312"/>
                <w:sz w:val="21"/>
                <w:color w:val="000000"/>
              </w:rPr>
              <w:t>《标定地价规程》（</w:t>
            </w:r>
            <w:r>
              <w:rPr>
                <w:rFonts w:ascii="仿宋_GB2312" w:hAnsi="仿宋_GB2312" w:cs="仿宋_GB2312" w:eastAsia="仿宋_GB2312"/>
                <w:sz w:val="21"/>
                <w:color w:val="000000"/>
              </w:rPr>
              <w:t>TD/T 1052-2017 ）。</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spacing w:before="90"/>
              <w:ind w:right="150"/>
              <w:jc w:val="both"/>
            </w:pPr>
            <w:r>
              <w:rPr>
                <w:rFonts w:ascii="仿宋_GB2312" w:hAnsi="仿宋_GB2312" w:cs="仿宋_GB2312" w:eastAsia="仿宋_GB2312"/>
                <w:sz w:val="21"/>
                <w:color w:val="000000"/>
              </w:rPr>
              <w:t>服务指标的具体要求：</w:t>
            </w:r>
            <w:r>
              <w:rPr>
                <w:rFonts w:ascii="仿宋_GB2312" w:hAnsi="仿宋_GB2312" w:cs="仿宋_GB2312" w:eastAsia="仿宋_GB2312"/>
                <w:sz w:val="21"/>
                <w:color w:val="000000"/>
              </w:rPr>
              <w:t>根据《陕西省自然资源厅关于开展</w:t>
            </w:r>
            <w:r>
              <w:rPr>
                <w:rFonts w:ascii="仿宋_GB2312" w:hAnsi="仿宋_GB2312" w:cs="仿宋_GB2312" w:eastAsia="仿宋_GB2312"/>
                <w:sz w:val="21"/>
                <w:color w:val="000000"/>
              </w:rPr>
              <w:t>2025年度城镇标定地价更新和城市地价动态监测工作的通知》文件要求，开展2025年度渭南市中心城区标定地价更新工作，在土地级别或均质地域基础上划定标准区域，设立各类用地（住宅、商业、工业等）标准宗地，跟踪标准宗地及其所在标定区域</w:t>
            </w:r>
            <w:r>
              <w:rPr>
                <w:rFonts w:ascii="仿宋_GB2312" w:hAnsi="仿宋_GB2312" w:cs="仿宋_GB2312" w:eastAsia="仿宋_GB2312"/>
                <w:sz w:val="21"/>
                <w:color w:val="000000"/>
              </w:rPr>
              <w:t>的的</w:t>
            </w:r>
            <w:r>
              <w:rPr>
                <w:rFonts w:ascii="仿宋_GB2312" w:hAnsi="仿宋_GB2312" w:cs="仿宋_GB2312" w:eastAsia="仿宋_GB2312"/>
                <w:sz w:val="21"/>
                <w:color w:val="000000"/>
              </w:rPr>
              <w:t>地价影响因素变化，采用规范的评估方法，评估标准宗地的标定地价，按约定内容向社会公布，形成区域内土地市场的正常价格参考。</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spacing w:before="90"/>
              <w:ind w:right="150"/>
              <w:jc w:val="both"/>
            </w:pPr>
            <w:r>
              <w:rPr>
                <w:rFonts w:ascii="仿宋_GB2312" w:hAnsi="仿宋_GB2312" w:cs="仿宋_GB2312" w:eastAsia="仿宋_GB2312"/>
                <w:sz w:val="21"/>
                <w:color w:val="000000"/>
              </w:rPr>
              <w:t>采购清单：</w:t>
            </w:r>
          </w:p>
          <w:tbl>
            <w:tblPr>
              <w:tblInd w:type="dxa" w:w="120"/>
              <w:tblBorders>
                <w:top w:val="none" w:color="000000" w:sz="4"/>
                <w:left w:val="none" w:color="000000" w:sz="4"/>
                <w:bottom w:val="none" w:color="000000" w:sz="4"/>
                <w:right w:val="none" w:color="000000" w:sz="4"/>
                <w:insideH w:val="none"/>
                <w:insideV w:val="none"/>
              </w:tblBorders>
            </w:tblPr>
            <w:tblGrid>
              <w:gridCol w:w="238"/>
              <w:gridCol w:w="816"/>
              <w:gridCol w:w="518"/>
              <w:gridCol w:w="975"/>
            </w:tblGrid>
            <w:tr>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right="150"/>
                    <w:jc w:val="center"/>
                  </w:pPr>
                  <w:r>
                    <w:rPr>
                      <w:rFonts w:ascii="仿宋_GB2312" w:hAnsi="仿宋_GB2312" w:cs="仿宋_GB2312" w:eastAsia="仿宋_GB2312"/>
                      <w:sz w:val="21"/>
                      <w:color w:val="000000"/>
                    </w:rPr>
                    <w:t>序号</w:t>
                  </w:r>
                </w:p>
              </w:tc>
              <w:tc>
                <w:tcPr>
                  <w:tcW w:type="dxa" w:w="8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right="150"/>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工作内容</w:t>
                  </w:r>
                </w:p>
              </w:tc>
              <w:tc>
                <w:tcPr>
                  <w:tcW w:type="dxa" w:w="5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right="150"/>
                    <w:jc w:val="both"/>
                  </w:pPr>
                  <w:r>
                    <w:rPr>
                      <w:rFonts w:ascii="仿宋_GB2312" w:hAnsi="仿宋_GB2312" w:cs="仿宋_GB2312" w:eastAsia="仿宋_GB2312"/>
                      <w:sz w:val="21"/>
                      <w:color w:val="000000"/>
                    </w:rPr>
                    <w:t>项目工期（天）</w:t>
                  </w:r>
                </w:p>
              </w:tc>
              <w:tc>
                <w:tcPr>
                  <w:tcW w:type="dxa" w:w="9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right="150"/>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费用小计（元）</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right="150"/>
                    <w:jc w:val="center"/>
                  </w:pPr>
                  <w:r>
                    <w:rPr>
                      <w:rFonts w:ascii="仿宋_GB2312" w:hAnsi="仿宋_GB2312" w:cs="仿宋_GB2312" w:eastAsia="仿宋_GB2312"/>
                      <w:sz w:val="21"/>
                      <w:color w:val="000000"/>
                    </w:rPr>
                    <w:t>1</w:t>
                  </w:r>
                </w:p>
              </w:tc>
              <w:tc>
                <w:tcPr>
                  <w:tcW w:type="dxa" w:w="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right="150"/>
                    <w:jc w:val="center"/>
                  </w:pPr>
                  <w:r>
                    <w:rPr>
                      <w:rFonts w:ascii="仿宋_GB2312" w:hAnsi="仿宋_GB2312" w:cs="仿宋_GB2312" w:eastAsia="仿宋_GB2312"/>
                      <w:sz w:val="21"/>
                      <w:color w:val="000000"/>
                    </w:rPr>
                    <w:t>工作方案与技术方案编制</w:t>
                  </w:r>
                </w:p>
              </w:tc>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right="150"/>
                    <w:jc w:val="both"/>
                  </w:pP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right="150"/>
                    <w:jc w:val="center"/>
                  </w:pPr>
                  <w:r>
                    <w:rPr>
                      <w:rFonts w:ascii="仿宋_GB2312" w:hAnsi="仿宋_GB2312" w:cs="仿宋_GB2312" w:eastAsia="仿宋_GB2312"/>
                      <w:sz w:val="21"/>
                      <w:color w:val="000000"/>
                    </w:rPr>
                    <w:t>外业调查及资料收集</w:t>
                  </w:r>
                </w:p>
              </w:tc>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right="150"/>
                    <w:jc w:val="both"/>
                  </w:pP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right="150"/>
                    <w:jc w:val="center"/>
                  </w:pPr>
                  <w:r>
                    <w:rPr>
                      <w:rFonts w:ascii="仿宋_GB2312" w:hAnsi="仿宋_GB2312" w:cs="仿宋_GB2312" w:eastAsia="仿宋_GB2312"/>
                      <w:sz w:val="21"/>
                      <w:color w:val="000000"/>
                    </w:rPr>
                    <w:t>标定地价公示范围的确定</w:t>
                  </w:r>
                </w:p>
              </w:tc>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right="150"/>
                    <w:jc w:val="both"/>
                  </w:pP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right="150"/>
                    <w:jc w:val="center"/>
                  </w:pPr>
                  <w:r>
                    <w:rPr>
                      <w:rFonts w:ascii="仿宋_GB2312" w:hAnsi="仿宋_GB2312" w:cs="仿宋_GB2312" w:eastAsia="仿宋_GB2312"/>
                      <w:sz w:val="21"/>
                      <w:color w:val="000000"/>
                    </w:rPr>
                    <w:t>标定区域的划定</w:t>
                  </w:r>
                </w:p>
              </w:tc>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right="150"/>
                    <w:jc w:val="both"/>
                  </w:pP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right="150"/>
                    <w:jc w:val="center"/>
                  </w:pPr>
                  <w:r>
                    <w:rPr>
                      <w:rFonts w:ascii="仿宋_GB2312" w:hAnsi="仿宋_GB2312" w:cs="仿宋_GB2312" w:eastAsia="仿宋_GB2312"/>
                      <w:sz w:val="21"/>
                      <w:color w:val="000000"/>
                    </w:rPr>
                    <w:t>标准宗地的布设</w:t>
                  </w:r>
                </w:p>
              </w:tc>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right="150"/>
                    <w:jc w:val="both"/>
                  </w:pP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right="150"/>
                    <w:jc w:val="center"/>
                  </w:pPr>
                  <w:r>
                    <w:rPr>
                      <w:rFonts w:ascii="仿宋_GB2312" w:hAnsi="仿宋_GB2312" w:cs="仿宋_GB2312" w:eastAsia="仿宋_GB2312"/>
                      <w:sz w:val="21"/>
                      <w:color w:val="000000"/>
                    </w:rPr>
                    <w:t>标准宗地确定、地价测算及评估报告撰写</w:t>
                  </w:r>
                </w:p>
              </w:tc>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right="150"/>
                    <w:jc w:val="both"/>
                  </w:pP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right="150"/>
                    <w:jc w:val="center"/>
                  </w:pPr>
                  <w:r>
                    <w:rPr>
                      <w:rFonts w:ascii="仿宋_GB2312" w:hAnsi="仿宋_GB2312" w:cs="仿宋_GB2312" w:eastAsia="仿宋_GB2312"/>
                      <w:sz w:val="21"/>
                      <w:color w:val="000000"/>
                    </w:rPr>
                    <w:t>编制标定地价修正体系表</w:t>
                  </w:r>
                </w:p>
              </w:tc>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right="150"/>
                    <w:jc w:val="both"/>
                  </w:pP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right="150"/>
                    <w:jc w:val="center"/>
                  </w:pPr>
                  <w:r>
                    <w:rPr>
                      <w:rFonts w:ascii="仿宋_GB2312" w:hAnsi="仿宋_GB2312" w:cs="仿宋_GB2312" w:eastAsia="仿宋_GB2312"/>
                      <w:sz w:val="21"/>
                      <w:color w:val="000000"/>
                    </w:rPr>
                    <w:t>标定地价体系更新报告编写</w:t>
                  </w:r>
                </w:p>
              </w:tc>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right="150"/>
                    <w:jc w:val="both"/>
                  </w:pP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right="150"/>
                    <w:jc w:val="center"/>
                  </w:pPr>
                  <w:r>
                    <w:rPr>
                      <w:rFonts w:ascii="仿宋_GB2312" w:hAnsi="仿宋_GB2312" w:cs="仿宋_GB2312" w:eastAsia="仿宋_GB2312"/>
                      <w:sz w:val="21"/>
                      <w:color w:val="000000"/>
                    </w:rPr>
                    <w:t>成果预审与验收</w:t>
                  </w:r>
                </w:p>
              </w:tc>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right="150"/>
                    <w:jc w:val="both"/>
                  </w:pP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合计</w:t>
                  </w:r>
                </w:p>
              </w:tc>
              <w:tc>
                <w:tcPr>
                  <w:tcW w:type="dxa" w:w="1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right="150"/>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人民币大写：</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right="150"/>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p>
              </w:tc>
            </w:tr>
          </w:tbl>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spacing w:before="90"/>
              <w:ind w:right="150"/>
              <w:jc w:val="both"/>
            </w:pPr>
            <w:r>
              <w:rPr>
                <w:rFonts w:ascii="仿宋_GB2312" w:hAnsi="仿宋_GB2312" w:cs="仿宋_GB2312" w:eastAsia="仿宋_GB2312"/>
                <w:sz w:val="21"/>
                <w:color w:val="000000"/>
              </w:rPr>
              <w:t>服务质量、标准、期限、效率等要求：</w:t>
            </w:r>
          </w:p>
          <w:p>
            <w:pPr>
              <w:pStyle w:val="null3"/>
              <w:spacing w:before="90"/>
              <w:ind w:right="150" w:firstLine="214"/>
              <w:jc w:val="both"/>
            </w:pPr>
            <w:r>
              <w:rPr>
                <w:rFonts w:ascii="仿宋_GB2312" w:hAnsi="仿宋_GB2312" w:cs="仿宋_GB2312" w:eastAsia="仿宋_GB2312"/>
                <w:sz w:val="21"/>
                <w:color w:val="000000"/>
              </w:rPr>
              <w:t>1.技术单位资质要求：土地评估资质已经自然资源部或陕西省自然资源厅备案确认。</w:t>
            </w:r>
          </w:p>
          <w:p>
            <w:pPr>
              <w:pStyle w:val="null3"/>
              <w:spacing w:before="90"/>
              <w:ind w:right="150" w:firstLine="214"/>
              <w:jc w:val="both"/>
            </w:pPr>
            <w:r>
              <w:rPr>
                <w:rFonts w:ascii="仿宋_GB2312" w:hAnsi="仿宋_GB2312" w:cs="仿宋_GB2312" w:eastAsia="仿宋_GB2312"/>
                <w:sz w:val="21"/>
                <w:color w:val="000000"/>
              </w:rPr>
              <w:t>2.服务质量：符合本采购需求第二条法律规定和技术规范要求。更新成果通过省自然资源厅验收，并完成备案。</w:t>
            </w:r>
          </w:p>
          <w:p>
            <w:pPr>
              <w:pStyle w:val="null3"/>
            </w:pPr>
            <w:r>
              <w:rPr>
                <w:rFonts w:ascii="仿宋_GB2312" w:hAnsi="仿宋_GB2312" w:cs="仿宋_GB2312" w:eastAsia="仿宋_GB2312"/>
                <w:sz w:val="21"/>
                <w:color w:val="000000"/>
              </w:rPr>
              <w:t xml:space="preserve"> 3.服务期限：合同签订后60日内完成全部工作任务，形成工作成果。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详见磋商文件3.2.2服务要求、磋商文件6.4.2评分标准。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详见磋商文件3.2.2服务要求、磋商文件6.4.2评分标准。</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详见磋商文件3.2.2服务要求、磋商文件6.4.2评分标准。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合同签订后60日内完成全部工作任务，形成工作成果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渭南市城区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《中华人民共和国资产评估法》和《标定地价规程》（TD/T 1052-2017）及《陕西省城镇标定地价体系建设技术方案》（第二版）。</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合同签订后，成果通过省级验收、省厅备案、市政府批准公布后，一次性全额支付。结算方式：按期完成标定地价更新全部工作任务，形成含标定地价体系更新报告、标准宗地评估报告、表格、图件以及数据库在内的工作成果，提交甲方后，一次性全额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3.3.6.1权利与义务： 3.3.6.1.1甲方权利 （1）甲方有权询问工作进展，根据项目推进情况要求乙方到场解决争议。 （2）甲方有权阐述对项目具体问题的意见和建议。 （3）甲方认定乙方人员不按合同履行职责，或与第三人串通给甲方造成损失的，甲方有权要求更换服务专业人员或项目负责人。 3.3.6.1.2甲方义务 （1）甲方应负责有关协调工作，为乙方提供工作条件。 （2）甲方应及时向乙方提供与本项目编制有关的资料。 （3）甲方应在约定时间内就乙方要求事项做出答复。 3.3.6.1.3乙方权利 （1）乙方在编制过程中，如甲方提供的资料不明确可向甲方提出书面报告。 （2）乙方在项目实施过程中，有权到项目现场勘查、调查。 3.3.6.1.4乙方义务 （1）向甲方提供与本项目有关的资料，包括编制工作方案，并按合同约定的范围实施业务。 （2）在履行合同期间或合同规定期限内，乙方不得泄露与本合同规定业务活动有关的保密资料。 （3）乙方需对甲方提供的所有资料进行保密。因乙方原因造成相关数据泄密的，或乙方未按要求交还项目资料造成数据泄密的，乙方应承担所有责任，并承担由此造成的所有责任。 （4）乙方员工在工作期间发生的一切事故、伤亡以及其他损失，由乙方自行承担。 3.3.6.2违约责任： （1）甲乙双方必须遵守本合同并执行合同中的各项规定，保证本合同的正常履行。 （2）双方本着友好合作的态度,对合同履行过程中发生的纠纷应及时协商解决，协商不成的，向采购人所在地有管辖权的人民法院诉讼解决。 （3）在合同有效期内，任何一方因不可抗力事件导致不能履行合同，则合同履行期可延长，其延长期与不可抗力影响期相同。 （4）乙方提交的工作成果不符合国家法律法规和合同规定的，甲方有权拒收，并由乙方承担一切费用。</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（1）在合同有效期内，任何一方因不可抗力事件导致不能履行合同，则合同履行期延长，其延长期与不可抗力影响期相同。 （2）甲方提供给乙方的相关基础资料只限于本项目，乙方需对资料保密，不得外传或用于本项目以外的其他事项。 （3）本项目工作成果只允许提交给甲方，不得提供给其他任何单位或用于其他事项。 （4）如乙方擅自提供资料，导致资料泄密，乙方需承担一切法律责任。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税收缴纳证明.docx 合同履约能力.docx 财务状况证明.docx 供应商基本情况.docx 供应商应提交的相关资格证明材料 没有重大违法记录的书面声明.docx 响应函 社会保障资金缴纳证明.docx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财务状况证明.docx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供应商企业关系关联承诺书.docx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供应商基本情况</w:t>
            </w:r>
          </w:p>
        </w:tc>
        <w:tc>
          <w:tcPr>
            <w:tcW w:type="dxa" w:w="3322"/>
          </w:tcPr>
          <w:p>
            <w:pPr>
              <w:pStyle w:val="null3"/>
            </w:pPr>
            <w:r>
              <w:rPr>
                <w:rFonts w:ascii="仿宋_GB2312" w:hAnsi="仿宋_GB2312" w:cs="仿宋_GB2312" w:eastAsia="仿宋_GB2312"/>
              </w:rPr>
              <w:t>供应商须具备独立承担民事责任能力的法人或其他组织，并出具合法有效的营业执照（含2024年年度报告）</w:t>
            </w:r>
          </w:p>
        </w:tc>
        <w:tc>
          <w:tcPr>
            <w:tcW w:type="dxa" w:w="1661"/>
          </w:tcPr>
          <w:p>
            <w:pPr>
              <w:pStyle w:val="null3"/>
            </w:pPr>
            <w:r>
              <w:rPr>
                <w:rFonts w:ascii="仿宋_GB2312" w:hAnsi="仿宋_GB2312" w:cs="仿宋_GB2312" w:eastAsia="仿宋_GB2312"/>
              </w:rPr>
              <w:t>供应商基本情况.docx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身份证明或法定代表人授权委托书：法定代表人参加的，须提供本人身份证复印件加盖公章并出示身份证原件；法定代表人授权他人参加的，须提供法定代表人委托授权书原件加盖公章，并出示被授权代表身份证原件及复印件加盖公章和近三个月的社保缴纳证明加盖公章</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供应商需为自然资源部或陕西省自然资源厅备案确认的土地评估机构，并提供相关证明</w:t>
            </w:r>
          </w:p>
        </w:tc>
        <w:tc>
          <w:tcPr>
            <w:tcW w:type="dxa" w:w="1661"/>
          </w:tcPr>
          <w:p>
            <w:pPr>
              <w:pStyle w:val="null3"/>
            </w:pPr>
            <w:r>
              <w:rPr>
                <w:rFonts w:ascii="仿宋_GB2312" w:hAnsi="仿宋_GB2312" w:cs="仿宋_GB2312" w:eastAsia="仿宋_GB2312"/>
              </w:rPr>
              <w:t>供应商特定资格应提交的相关资格证明材料.docx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需具备土地估价师或房地产估价师执业资格，并提供负责人在本单位近三个月的社保缴纳证明</w:t>
            </w:r>
          </w:p>
        </w:tc>
        <w:tc>
          <w:tcPr>
            <w:tcW w:type="dxa" w:w="1661"/>
          </w:tcPr>
          <w:p>
            <w:pPr>
              <w:pStyle w:val="null3"/>
            </w:pPr>
            <w:r>
              <w:rPr>
                <w:rFonts w:ascii="仿宋_GB2312" w:hAnsi="仿宋_GB2312" w:cs="仿宋_GB2312" w:eastAsia="仿宋_GB2312"/>
              </w:rPr>
              <w:t>项目负责人资格证明.docx 供应商特定资格应提交的相关资格证明材料.docx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会计师事务所或审计机构审计的财务会计报告，包括财务审计报告、资产负债表、现金流量表、利润表、所有者权益表和财务情况说明书或供应商基本存款账户开户银行出具开标日期前六个月内资信证明及基本存款账户开户许可证（基本账户信息表）。（若成立时间至提交响应文件截止时间不足一年的可提供成立后财务报表，包含资产负债表、现金流量表、利润表、所有者权益表）</w:t>
            </w:r>
          </w:p>
        </w:tc>
        <w:tc>
          <w:tcPr>
            <w:tcW w:type="dxa" w:w="1661"/>
          </w:tcPr>
          <w:p>
            <w:pPr>
              <w:pStyle w:val="null3"/>
            </w:pPr>
            <w:r>
              <w:rPr>
                <w:rFonts w:ascii="仿宋_GB2312" w:hAnsi="仿宋_GB2312" w:cs="仿宋_GB2312" w:eastAsia="仿宋_GB2312"/>
              </w:rPr>
              <w:t>财务状况证明.docx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2025年1月至今已缴纳的至少三个月纳税证明或完税证明。依法免税的单位应提供相关证明材料</w:t>
            </w:r>
          </w:p>
        </w:tc>
        <w:tc>
          <w:tcPr>
            <w:tcW w:type="dxa" w:w="1661"/>
          </w:tcPr>
          <w:p>
            <w:pPr>
              <w:pStyle w:val="null3"/>
            </w:pPr>
            <w:r>
              <w:rPr>
                <w:rFonts w:ascii="仿宋_GB2312" w:hAnsi="仿宋_GB2312" w:cs="仿宋_GB2312" w:eastAsia="仿宋_GB2312"/>
              </w:rPr>
              <w:t>税收缴纳证明.docx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2025年1月至今已缴纳的至少三个月的社会保障资金缴存单据或社保机构开具的社会保险参保缴费情况证明，单据或证明上应有社保机构或代收机构的公章。依法不需要缴纳社会保障资金的供应商应提供相关文件证明资料</w:t>
            </w:r>
          </w:p>
        </w:tc>
        <w:tc>
          <w:tcPr>
            <w:tcW w:type="dxa" w:w="1661"/>
          </w:tcPr>
          <w:p>
            <w:pPr>
              <w:pStyle w:val="null3"/>
            </w:pPr>
            <w:r>
              <w:rPr>
                <w:rFonts w:ascii="仿宋_GB2312" w:hAnsi="仿宋_GB2312" w:cs="仿宋_GB2312" w:eastAsia="仿宋_GB2312"/>
              </w:rPr>
              <w:t>社会保障资金缴纳证明.docx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供应商应出具参加政府采购活动前3年内在经营活动中没有重大违法记录的书面声明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没有重大违法记录的书面声明.docx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合同履约能力</w:t>
            </w:r>
          </w:p>
        </w:tc>
        <w:tc>
          <w:tcPr>
            <w:tcW w:type="dxa" w:w="3322"/>
          </w:tcPr>
          <w:p>
            <w:pPr>
              <w:pStyle w:val="null3"/>
            </w:pPr>
            <w:r>
              <w:rPr>
                <w:rFonts w:ascii="仿宋_GB2312" w:hAnsi="仿宋_GB2312" w:cs="仿宋_GB2312" w:eastAsia="仿宋_GB2312"/>
              </w:rPr>
              <w:t>供应商具有履行合同所必需的设备和专业技术能力</w:t>
            </w:r>
          </w:p>
        </w:tc>
        <w:tc>
          <w:tcPr>
            <w:tcW w:type="dxa" w:w="1661"/>
          </w:tcPr>
          <w:p>
            <w:pPr>
              <w:pStyle w:val="null3"/>
            </w:pPr>
            <w:r>
              <w:rPr>
                <w:rFonts w:ascii="仿宋_GB2312" w:hAnsi="仿宋_GB2312" w:cs="仿宋_GB2312" w:eastAsia="仿宋_GB2312"/>
              </w:rPr>
              <w:t>合同履约能力.docx 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信用中国网、中国政府采购网查询情况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信用中国网、中国政府采购网查询情况.docx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供应商关系关联情况</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供应商企业关系关联承诺书.docx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供应商基本情况.docx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 商递交的磋商响应文件与本项目名称一致</w:t>
            </w:r>
          </w:p>
        </w:tc>
        <w:tc>
          <w:tcPr>
            <w:tcW w:type="dxa" w:w="1661"/>
          </w:tcPr>
          <w:p>
            <w:pPr>
              <w:pStyle w:val="null3"/>
            </w:pPr>
            <w:r>
              <w:rPr>
                <w:rFonts w:ascii="仿宋_GB2312" w:hAnsi="仿宋_GB2312" w:cs="仿宋_GB2312" w:eastAsia="仿宋_GB2312"/>
              </w:rPr>
              <w:t>税收缴纳证明.docx 信用中国网、中国政府采购网查询情况.docx 服务内容及服务邀请应答表 财务状况证明.docx 中小企业声明函 供应商特定资格应提交的相关资格证明材料.docx 商务应答表 供应商应提交的相关资格证明材料 报价表 响应文件封面 合同履约能力.docx 项目负责人资格证明.docx 分项报价表.docx 企业综合实力.docx 供应商企业关系关联承诺书.docx 残疾人福利性单位声明函 服务方案 供应商基本情况.docx 标的清单 没有重大违法记录的书面声明.docx 响应函 法定代表人身份证明或法定代表人授权委托书.docx 监狱企业的证明文件 社会保障资金缴纳证明.docx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 法定代表人身份证明或法定代表人授权委托书.docx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合同签订后60日内完成全部工作任务，形成工作成果</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渭南市城区</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和最后报价相同的，按照服务方案优劣顺序推荐；评审得分和最后报价及服务方案得分仍相同的，由磋商小组共同推荐本采购项目其他指标进行对比，依次类推。</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提供近三年（2022年11月至今）承担过类似项目业绩，有一项有效业绩得基本分2分，最高加8分（以合同为准，时间以合同签订时间为准）。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企业综合实力.docx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具备土地估价师或房地产估价师执业资格，提供项目负责人在本单位近三个月社保缴纳证明，同时具备高级职称得4分，中级职称得3分；（2）提供近三年（2022年11月至今）主持过同类（标定地价或基准地价）项目业绩，有一项有效业绩得0.5分，最高得1分。 评审依据：提供项目负责人有效执业证书和职称证书及社保缴纳证明；业绩合同中体现项目责任姓名或项目负责人任命书。</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企业综合实力.docx</w:t>
            </w:r>
          </w:p>
        </w:tc>
      </w:tr>
      <w:tr>
        <w:tc>
          <w:tcPr>
            <w:tcW w:type="dxa" w:w="831"/>
            <w:vMerge/>
          </w:tcPr>
          <w:p/>
        </w:tc>
        <w:tc>
          <w:tcPr>
            <w:tcW w:type="dxa" w:w="1661"/>
          </w:tcPr>
          <w:p>
            <w:pPr>
              <w:pStyle w:val="null3"/>
            </w:pPr>
            <w:r>
              <w:rPr>
                <w:rFonts w:ascii="仿宋_GB2312" w:hAnsi="仿宋_GB2312" w:cs="仿宋_GB2312" w:eastAsia="仿宋_GB2312"/>
              </w:rPr>
              <w:t>核心团队成员</w:t>
            </w:r>
          </w:p>
        </w:tc>
        <w:tc>
          <w:tcPr>
            <w:tcW w:type="dxa" w:w="2492"/>
          </w:tcPr>
          <w:p>
            <w:pPr>
              <w:pStyle w:val="null3"/>
            </w:pPr>
            <w:r>
              <w:rPr>
                <w:rFonts w:ascii="仿宋_GB2312" w:hAnsi="仿宋_GB2312" w:cs="仿宋_GB2312" w:eastAsia="仿宋_GB2312"/>
              </w:rPr>
              <w:t>团队成员中（除项目负责人外）具备土地估价师或房地产估价师资格的人数，每有1人得1分，最高7分。以上人员须提供在本单位近三个月社保缴纳证明。评审依据：提供核心团队成员有效执业证书和社保缴纳证明。</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企业综合实力.docx</w:t>
            </w:r>
          </w:p>
        </w:tc>
      </w:tr>
      <w:tr>
        <w:tc>
          <w:tcPr>
            <w:tcW w:type="dxa" w:w="831"/>
            <w:vMerge/>
          </w:tcPr>
          <w:p/>
        </w:tc>
        <w:tc>
          <w:tcPr>
            <w:tcW w:type="dxa" w:w="1661"/>
          </w:tcPr>
          <w:p>
            <w:pPr>
              <w:pStyle w:val="null3"/>
            </w:pPr>
            <w:r>
              <w:rPr>
                <w:rFonts w:ascii="仿宋_GB2312" w:hAnsi="仿宋_GB2312" w:cs="仿宋_GB2312" w:eastAsia="仿宋_GB2312"/>
              </w:rPr>
              <w:t>对项目的理解与总体工作方案</w:t>
            </w:r>
          </w:p>
        </w:tc>
        <w:tc>
          <w:tcPr>
            <w:tcW w:type="dxa" w:w="2492"/>
          </w:tcPr>
          <w:p>
            <w:pPr>
              <w:pStyle w:val="null3"/>
            </w:pPr>
            <w:r>
              <w:rPr>
                <w:rFonts w:ascii="仿宋_GB2312" w:hAnsi="仿宋_GB2312" w:cs="仿宋_GB2312" w:eastAsia="仿宋_GB2312"/>
              </w:rPr>
              <w:t>对项目背景、目标、政策要求理解深刻、准确；工作思路清晰、有创新性；技术路线科学、先进，完全符合国家及地方最新规程和要求得11.1-15分；对项目理解较为准确，工作思路清晰，技术路线基本合理，符合相关规程要求得7.1-11分；对项目理解一般，工作思路和技术路线存在部分欠缺，但基本可行得3.1-7分；对项目理解存在重大偏差，工作思路混乱，技术路线不合理得1-3分；未响应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技术路线与关键方法</w:t>
            </w:r>
          </w:p>
        </w:tc>
        <w:tc>
          <w:tcPr>
            <w:tcW w:type="dxa" w:w="2492"/>
          </w:tcPr>
          <w:p>
            <w:pPr>
              <w:pStyle w:val="null3"/>
            </w:pPr>
            <w:r>
              <w:rPr>
                <w:rFonts w:ascii="仿宋_GB2312" w:hAnsi="仿宋_GB2312" w:cs="仿宋_GB2312" w:eastAsia="仿宋_GB2312"/>
              </w:rPr>
              <w:t>（1）标定区域划分方法：划分原则科学、依据充分，能综合考虑规划、市场、功能等因素，方法具有可操作性强得3.1-5分；划分原则科学、依据较充分，能较全面综合考虑规划、市场、功能等因素，方法操作性一般1-3分；未响应得0分。 （2）标准宗地（估价点）布设方案：布设原则合理，覆盖面广，代表性强，能动态更新调整的方案得3.1-5分；布设原则较合理，覆盖面一般，代表性一般，能动态更新调整方案一般得1-3分；未响应得0分。 （3）地价评估方法与参数确定： 评估方法选择恰当（至少两种以上），参数选取依据充分、测算过程科学，对市场数据的运用能力强得3.1-5分；评估方法选择恰当（至少两种以上），参数选取依据较充分、测算过程较科学，对市场数据的运用能力一般得1-3分；未响应得0分。 （4）数据采集与处理方案： 数据来源广泛、可靠，采集方案详细，数据处理和质量控制方法科学有效得3.1-5分； 数据来源缺乏、可靠性不强，采集方案一般，数据处理和质量控制方法较科学得1-3分；未响应得0分。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成果体系与质量保障措施</w:t>
            </w:r>
          </w:p>
        </w:tc>
        <w:tc>
          <w:tcPr>
            <w:tcW w:type="dxa" w:w="2492"/>
          </w:tcPr>
          <w:p>
            <w:pPr>
              <w:pStyle w:val="null3"/>
            </w:pPr>
            <w:r>
              <w:rPr>
                <w:rFonts w:ascii="仿宋_GB2312" w:hAnsi="仿宋_GB2312" w:cs="仿宋_GB2312" w:eastAsia="仿宋_GB2312"/>
              </w:rPr>
              <w:t>（1）成果内容完整性：成果体系设计完整，包括图、表、报告、数据库、公示材料等，内容全面符合本项目采购要求得3.1-5分；成果体系设计较完整，包括图、表、报告、数据库、公示材料等，内容不缺项较全面符合本项目采购要求得1-3分；未响应得0分。 （2）质量保证体系与措施：有完善的项目质量管理体系、内部三级审核制度，质量控制节点明确，措施具体可行得3.1-5分；项目质量管理体系、内部三级审核制度较健全，质量控制节点较明确，措施可行性一般得1-3分；未响应得0分。 （3）技术难点与对策：能准确识别项目可能遇到的技术难点（如特殊用途土地评估、市场不活跃区域评估等），并提出切实有效的解决方案得3.1-5分；能识别项目遇到的技术难点，但提出的解决方案一般得1-3分；未响应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项目进度计划与安排</w:t>
            </w:r>
          </w:p>
        </w:tc>
        <w:tc>
          <w:tcPr>
            <w:tcW w:type="dxa" w:w="2492"/>
          </w:tcPr>
          <w:p>
            <w:pPr>
              <w:pStyle w:val="null3"/>
            </w:pPr>
            <w:r>
              <w:rPr>
                <w:rFonts w:ascii="仿宋_GB2312" w:hAnsi="仿宋_GB2312" w:cs="仿宋_GB2312" w:eastAsia="仿宋_GB2312"/>
              </w:rPr>
              <w:t>（1）工作计划详细、阶段划分合理，关键节点明确，服务期限安排紧凑且切实可行，保障措施有力得3.1-5分；（2）工作计划和进度安排基本合理，能满足项目服务期限要求得1.1-3分；（3）计划不周，进度安排不合理，无法保证按时交付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后续服务与技术支持</w:t>
            </w:r>
          </w:p>
        </w:tc>
        <w:tc>
          <w:tcPr>
            <w:tcW w:type="dxa" w:w="2492"/>
          </w:tcPr>
          <w:p>
            <w:pPr>
              <w:pStyle w:val="null3"/>
            </w:pPr>
            <w:r>
              <w:rPr>
                <w:rFonts w:ascii="仿宋_GB2312" w:hAnsi="仿宋_GB2312" w:cs="仿宋_GB2312" w:eastAsia="仿宋_GB2312"/>
              </w:rPr>
              <w:t>（1）服务承诺具体，响应时间短，免费服务期长，能为成果验收、公示、应用及系统维护提供持续的技术支持方案得3.1-5分；（2） 有基本的服务承诺和保障措施得1.1-3分；（3） 服务承诺模糊，缺乏保障性得0-1分。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 2.满足磋商文件实质性要求且最终报价最低的供应商的报价为磋商基准价，其价格分为满分20分。 3.磋商报价得分=（磋商基准价/最终磋商报价）×20%×100的公式计算得分。 4.磋商报价不完整的，不进入评标标准价的计算，本项得0分 5.经磋商小组一致认定，供应商的最终磋商报价低于公认市场成本，或超过最高限价,其响应将被拒绝。</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详见附件：税收缴纳证明.docx</w:t>
      </w:r>
    </w:p>
    <w:p>
      <w:pPr>
        <w:pStyle w:val="null3"/>
        <w:ind w:firstLine="960"/>
      </w:pPr>
      <w:r>
        <w:rPr>
          <w:rFonts w:ascii="仿宋_GB2312" w:hAnsi="仿宋_GB2312" w:cs="仿宋_GB2312" w:eastAsia="仿宋_GB2312"/>
        </w:rPr>
        <w:t>详见附件：合同履约能力.docx</w:t>
      </w:r>
    </w:p>
    <w:p>
      <w:pPr>
        <w:pStyle w:val="null3"/>
        <w:ind w:firstLine="960"/>
      </w:pPr>
      <w:r>
        <w:rPr>
          <w:rFonts w:ascii="仿宋_GB2312" w:hAnsi="仿宋_GB2312" w:cs="仿宋_GB2312" w:eastAsia="仿宋_GB2312"/>
        </w:rPr>
        <w:t>详见附件：财务状况证明.docx</w:t>
      </w:r>
    </w:p>
    <w:p>
      <w:pPr>
        <w:pStyle w:val="null3"/>
        <w:ind w:firstLine="960"/>
      </w:pPr>
      <w:r>
        <w:rPr>
          <w:rFonts w:ascii="仿宋_GB2312" w:hAnsi="仿宋_GB2312" w:cs="仿宋_GB2312" w:eastAsia="仿宋_GB2312"/>
        </w:rPr>
        <w:t>详见附件：供应商基本情况.docx</w:t>
      </w:r>
    </w:p>
    <w:p>
      <w:pPr>
        <w:pStyle w:val="null3"/>
        <w:ind w:firstLine="960"/>
      </w:pPr>
      <w:r>
        <w:rPr>
          <w:rFonts w:ascii="仿宋_GB2312" w:hAnsi="仿宋_GB2312" w:cs="仿宋_GB2312" w:eastAsia="仿宋_GB2312"/>
        </w:rPr>
        <w:t>详见附件：供应商特定资格应提交的相关资格证明材料.docx</w:t>
      </w:r>
    </w:p>
    <w:p>
      <w:pPr>
        <w:pStyle w:val="null3"/>
        <w:ind w:firstLine="960"/>
      </w:pPr>
      <w:r>
        <w:rPr>
          <w:rFonts w:ascii="仿宋_GB2312" w:hAnsi="仿宋_GB2312" w:cs="仿宋_GB2312" w:eastAsia="仿宋_GB2312"/>
        </w:rPr>
        <w:t>详见附件：没有重大违法记录的书面声明.docx</w:t>
      </w:r>
    </w:p>
    <w:p>
      <w:pPr>
        <w:pStyle w:val="null3"/>
        <w:ind w:firstLine="960"/>
      </w:pPr>
      <w:r>
        <w:rPr>
          <w:rFonts w:ascii="仿宋_GB2312" w:hAnsi="仿宋_GB2312" w:cs="仿宋_GB2312" w:eastAsia="仿宋_GB2312"/>
        </w:rPr>
        <w:t>详见附件：社会保障资金缴纳证明.docx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详见附件：项目负责人资格证明.docx</w:t>
      </w:r>
    </w:p>
    <w:p>
      <w:pPr>
        <w:pStyle w:val="null3"/>
        <w:ind w:firstLine="960"/>
      </w:pPr>
      <w:r>
        <w:rPr>
          <w:rFonts w:ascii="仿宋_GB2312" w:hAnsi="仿宋_GB2312" w:cs="仿宋_GB2312" w:eastAsia="仿宋_GB2312"/>
        </w:rPr>
        <w:t>详见附件：信用中国网、中国政府采购网查询情况.docx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详见附件：企业综合实力.docx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