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版本号：ZCSP-渭南市-2025-0080520251107002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“三秦智医助理”系统暨基层能力提升项目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ZCSP-渭南市-2025-00805</w:t>
      </w:r>
      <w:r>
        <w:br/>
      </w:r>
      <w:r>
        <w:br/>
      </w:r>
      <w:r>
        <w:br/>
      </w:r>
    </w:p>
    <w:p>
      <w:pPr>
        <w:pStyle w:val="null3"/>
        <w:jc w:val="center"/>
        <w:outlineLvl w:val="2"/>
      </w:pPr>
      <w:r>
        <w:rPr>
          <w:rFonts w:ascii="仿宋_GB2312" w:hAnsi="仿宋_GB2312" w:cs="仿宋_GB2312" w:eastAsia="仿宋_GB2312"/>
          <w:sz w:val="28"/>
          <w:b/>
        </w:rPr>
        <w:t>渭南市卫生健康委员会</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渭南市卫生健康委员会</w:t>
      </w:r>
      <w:r>
        <w:rPr>
          <w:rFonts w:ascii="仿宋_GB2312" w:hAnsi="仿宋_GB2312" w:cs="仿宋_GB2312" w:eastAsia="仿宋_GB2312"/>
        </w:rPr>
        <w:t>委托，拟对</w:t>
      </w:r>
      <w:r>
        <w:rPr>
          <w:rFonts w:ascii="仿宋_GB2312" w:hAnsi="仿宋_GB2312" w:cs="仿宋_GB2312" w:eastAsia="仿宋_GB2312"/>
        </w:rPr>
        <w:t>“三秦智医助理”系统暨基层能力提升项目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“三秦智医助理”系统暨基层能力提升项目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“三秦智医助理”系统暨基层能力提升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 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p>
      <w:pPr>
        <w:pStyle w:val="null3"/>
      </w:pPr>
      <w:r>
        <w:rPr>
          <w:rFonts w:ascii="仿宋_GB2312" w:hAnsi="仿宋_GB2312" w:cs="仿宋_GB2312" w:eastAsia="仿宋_GB2312"/>
        </w:rPr>
        <w:t>2、供应商应授权合法的人员参加投标全过程 ：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3、完税证明 ：供应商须提供开标前一年内（2024.11-2025.10）任意一个月的依法缴纳税收的完税证明（增值税、企业所得税至少提供一种），依法免税的或不需要缴纳的供应商，应提供相关证明；供应商须在项目电子化交易系统中按要求上传，并进行电子签章。</w:t>
      </w:r>
    </w:p>
    <w:p>
      <w:pPr>
        <w:pStyle w:val="null3"/>
      </w:pPr>
      <w:r>
        <w:rPr>
          <w:rFonts w:ascii="仿宋_GB2312" w:hAnsi="仿宋_GB2312" w:cs="仿宋_GB2312" w:eastAsia="仿宋_GB2312"/>
        </w:rPr>
        <w:t>4、社会保险缴纳证明 ：供应商须提供开标前一年内（2024.11-2025.10）任意一个月的已缴纳的社会保险证明（种类至少包括养老保险）；依法不需要缴纳社会保险的供应商应提供相关证明文件；供应商须在项目电子化交易系统中按要求上传相应证明文件，并进行电子签章。</w:t>
      </w:r>
    </w:p>
    <w:p>
      <w:pPr>
        <w:pStyle w:val="null3"/>
      </w:pPr>
      <w:r>
        <w:rPr>
          <w:rFonts w:ascii="仿宋_GB2312" w:hAnsi="仿宋_GB2312" w:cs="仿宋_GB2312" w:eastAsia="仿宋_GB2312"/>
        </w:rPr>
        <w:t>5、财务审计报告或资信证明：供应商提供具有财务审计资质单位出具的2024年度完整财务报告或开标前六个月内（2025.5-2025.10）其基本账户银行出具的资信证明；供应商须在项目电子化交易系统中按要求上传，并进行电子签章。</w:t>
      </w:r>
    </w:p>
    <w:p>
      <w:pPr>
        <w:pStyle w:val="null3"/>
      </w:pPr>
      <w:r>
        <w:rPr>
          <w:rFonts w:ascii="仿宋_GB2312" w:hAnsi="仿宋_GB2312" w:cs="仿宋_GB2312" w:eastAsia="仿宋_GB2312"/>
        </w:rPr>
        <w:t>6、无重大违法记录书面声明：供应商须在项目电子化交易系统中按要求上传《供应商无重大违法记录书面声明函》，并进行电子签章。</w:t>
      </w:r>
    </w:p>
    <w:p>
      <w:pPr>
        <w:pStyle w:val="null3"/>
      </w:pPr>
      <w:r>
        <w:rPr>
          <w:rFonts w:ascii="仿宋_GB2312" w:hAnsi="仿宋_GB2312" w:cs="仿宋_GB2312" w:eastAsia="仿宋_GB2312"/>
        </w:rPr>
        <w:t>7、信用记录书面声明：供应商须在项目电子化交易系统中按要求上传《供应商信用记录书面声明函》，并进行电子签章。</w:t>
      </w:r>
    </w:p>
    <w:p>
      <w:pPr>
        <w:pStyle w:val="null3"/>
      </w:pPr>
      <w:r>
        <w:rPr>
          <w:rFonts w:ascii="仿宋_GB2312" w:hAnsi="仿宋_GB2312" w:cs="仿宋_GB2312" w:eastAsia="仿宋_GB2312"/>
        </w:rPr>
        <w:t>8、本项目不接受联合体投标，不允许分包.： 供应商须提供《非联合体不分包投标声明》，并在项目电子化交易系统中按要求上传《非联合体不分包投标声明》，并进行电子签章。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渭南市卫生健康委员会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市民综合服务中心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渭南市卫生健康委员会经办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18609130165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采购包1：5,211,000.00元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渭南市卫生健康委员会</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渭南市卫生健康委员会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渭南市卫生健康委员会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机构网络改造:新增点位符合综合布线工程规范，符合国家电子政务外网接入要求，内外网通过安全策略实现互通。 用户数据初始化:初始化数据完全满足系统运行及会计核算，准确率100%。 设备联机与对接:支持联机并提供技术支持的设备，联机率100%。 应用系统培训:全部用户参培率100%。 系统管理用户考核通过率100%。 迁移数据验证:根据机构需求及新系统数据规范，完成软件上线前历史数据(由省级“三秦智医”包3提供)的验证，数据验证覆盖率100% 试运行及需求反馈:进行需求闭环管理，一线需求采集率100%，需求管理跟踪100%，反馈优化结果100%，每个闭环时间，紧急问题≤4小时，一般问题不超过1天，复杂问题不超过1周。 新旧系统割接:新旧系统切换过程平稳、高效、安全，切换前后实物库存衔接准确，会计科目期末期初一致，月度财务数据实现合并统计，月度记账平衡。</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渭南市卫生健康委员会</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联系人：王静</w:t>
      </w:r>
    </w:p>
    <w:p>
      <w:pPr>
        <w:pStyle w:val="null3"/>
      </w:pPr>
      <w:r>
        <w:rPr>
          <w:rFonts w:ascii="仿宋_GB2312" w:hAnsi="仿宋_GB2312" w:cs="仿宋_GB2312" w:eastAsia="仿宋_GB2312"/>
        </w:rPr>
        <w:t>联系电话：18609130165</w:t>
      </w:r>
    </w:p>
    <w:p>
      <w:pPr>
        <w:pStyle w:val="null3"/>
      </w:pPr>
      <w:r>
        <w:rPr>
          <w:rFonts w:ascii="仿宋_GB2312" w:hAnsi="仿宋_GB2312" w:cs="仿宋_GB2312" w:eastAsia="仿宋_GB2312"/>
        </w:rPr>
        <w:t>地址：渭南市卫生健康委员会</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联系人：杨老师 吝老师</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地址：渭南市朝阳大街中银大厦</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“三秦智医助理”系统暨基层能力提升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5,211,000.00</w:t>
      </w:r>
    </w:p>
    <w:p>
      <w:pPr>
        <w:pStyle w:val="null3"/>
      </w:pPr>
      <w:r>
        <w:rPr>
          <w:rFonts w:ascii="仿宋_GB2312" w:hAnsi="仿宋_GB2312" w:cs="仿宋_GB2312" w:eastAsia="仿宋_GB2312"/>
        </w:rPr>
        <w:t>采购包最高限价（元）: 5,211,000.00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渭南市卫生健康委员会“三秦智医助理”系统暨基层能力提升项目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5,211,000.00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标的名称：渭南市卫生健康委员会“三秦智医助理”系统暨基层能力提升项目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服务器</w:t>
            </w:r>
            <w:r>
              <w:rPr>
                <w:rFonts w:ascii="仿宋_GB2312" w:hAnsi="仿宋_GB2312" w:cs="仿宋_GB2312" w:eastAsia="仿宋_GB2312"/>
                <w:sz w:val="24"/>
                <w:b/>
                <w:color w:val="000000"/>
              </w:rPr>
              <w:t>操作</w:t>
            </w:r>
            <w:r>
              <w:rPr>
                <w:rFonts w:ascii="仿宋_GB2312" w:hAnsi="仿宋_GB2312" w:cs="仿宋_GB2312" w:eastAsia="仿宋_GB2312"/>
                <w:sz w:val="24"/>
                <w:b/>
                <w:color w:val="000000"/>
              </w:rPr>
              <w:t>系统</w:t>
            </w:r>
            <w:r>
              <w:rPr>
                <w:rFonts w:ascii="仿宋_GB2312" w:hAnsi="仿宋_GB2312" w:cs="仿宋_GB2312" w:eastAsia="仿宋_GB2312"/>
                <w:sz w:val="24"/>
                <w:b/>
                <w:color w:val="000000"/>
              </w:rPr>
              <w:t>技术指标要求</w:t>
            </w:r>
          </w:p>
          <w:p>
            <w:pPr>
              <w:pStyle w:val="null3"/>
              <w:spacing w:before="150"/>
              <w:ind w:firstLine="468"/>
              <w:jc w:val="both"/>
            </w:pPr>
            <w:r>
              <w:rPr>
                <w:rFonts w:ascii="仿宋_GB2312" w:hAnsi="仿宋_GB2312" w:cs="仿宋_GB2312" w:eastAsia="仿宋_GB2312"/>
                <w:sz w:val="24"/>
                <w:b/>
                <w:color w:val="000000"/>
              </w:rPr>
              <w:t>需求数量：66套</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符合《操作系统政府采购需求标准（2023年版）》要求</w:t>
            </w:r>
            <w:r>
              <w:rPr>
                <w:rFonts w:ascii="仿宋_GB2312" w:hAnsi="仿宋_GB2312" w:cs="仿宋_GB2312" w:eastAsia="仿宋_GB2312"/>
                <w:sz w:val="24"/>
                <w:color w:val="000000"/>
              </w:rPr>
              <w:t>，是中国信息安全测评中心或国家保密科技测评中心安全可靠测评公告的操作系统。</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．支持ARM、LoongArch、MIPS、SW64、x86等平台架构的CPU。</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．预装同品牌自研浏览器，且浏览器产品满足GM/T 0087《浏览器密码应用接口规范》、GM/T 0028《密码模块安全技术要求》、GB/T 38636《信息安全技术传输层密码协议（TLCP）》等规范标准。（提供与操作系统同品牌的浏览器软著证书、浏览器商用密码产品认证证书）</w:t>
            </w:r>
          </w:p>
          <w:p>
            <w:pPr>
              <w:pStyle w:val="null3"/>
              <w:ind w:firstLine="480"/>
            </w:pPr>
            <w:r>
              <w:rPr>
                <w:rFonts w:ascii="仿宋_GB2312" w:hAnsi="仿宋_GB2312" w:cs="仿宋_GB2312" w:eastAsia="仿宋_GB2312"/>
                <w:sz w:val="24"/>
                <w:color w:val="000000"/>
              </w:rPr>
              <w:t>4．提供静态数据收集工具，可一键采集OS的关键静态数据，并生成数据分析报表，辅助定位运维问题。（提供功能截图）</w:t>
            </w:r>
          </w:p>
          <w:p>
            <w:pPr>
              <w:pStyle w:val="null3"/>
              <w:ind w:firstLine="480"/>
            </w:pPr>
            <w:r>
              <w:rPr>
                <w:rFonts w:ascii="仿宋_GB2312" w:hAnsi="仿宋_GB2312" w:cs="仿宋_GB2312" w:eastAsia="仿宋_GB2312"/>
                <w:sz w:val="24"/>
                <w:color w:val="000000"/>
              </w:rPr>
              <w:t>5.提供自研安全运行环境软件，可允许开发者在操作系统上直接运行一个Linux环境，包括运行命令行工具、组件和应用等。（提供与操作系统同品牌的安全运行环境软件著作权）</w:t>
            </w:r>
          </w:p>
          <w:p>
            <w:pPr>
              <w:pStyle w:val="null3"/>
              <w:ind w:firstLine="480"/>
            </w:pPr>
            <w:r>
              <w:rPr>
                <w:rFonts w:ascii="仿宋_GB2312" w:hAnsi="仿宋_GB2312" w:cs="仿宋_GB2312" w:eastAsia="仿宋_GB2312"/>
                <w:sz w:val="24"/>
                <w:color w:val="000000"/>
              </w:rPr>
              <w:t>6.系统内置国密算法，支持基于国密算法的加解密应用，支持国密SM2/3/4；提供国密版内核模块签名机制，支持国密算法，以保证内核模块的可信性，禁止未签名模块加载至内核；软件包仓库及管理命令支持国密算法；提供OpenSSL、Libgcrypt、Gnulib、Nettle、Hashes、libkcapi、OpenSSH等常见算法库的国密版本，OpenSSL须支持X509、PKCS#7证书。（提供测试步骤及测试结果截图证明）</w:t>
            </w:r>
          </w:p>
          <w:p>
            <w:pPr>
              <w:pStyle w:val="null3"/>
              <w:ind w:firstLine="640"/>
              <w:jc w:val="both"/>
            </w:pPr>
            <w:r>
              <w:rPr>
                <w:rFonts w:ascii="仿宋_GB2312" w:hAnsi="仿宋_GB2312" w:cs="仿宋_GB2312" w:eastAsia="仿宋_GB2312"/>
                <w:sz w:val="24"/>
              </w:rPr>
              <w:t>▲7.服务器操作系统要求</w:t>
            </w:r>
            <w:r>
              <w:rPr>
                <w:rFonts w:ascii="仿宋_GB2312" w:hAnsi="仿宋_GB2312" w:cs="仿宋_GB2312" w:eastAsia="仿宋_GB2312"/>
                <w:sz w:val="24"/>
              </w:rPr>
              <w:t>原厂三年服务</w:t>
            </w:r>
            <w:r>
              <w:rPr>
                <w:rFonts w:ascii="仿宋_GB2312" w:hAnsi="仿宋_GB2312" w:cs="仿宋_GB2312" w:eastAsia="仿宋_GB2312"/>
                <w:sz w:val="24"/>
              </w:rPr>
              <w:t>，提供原厂授权服务承诺函。</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outlineLvl w:val="1"/>
            </w:pPr>
            <w:r>
              <w:rPr>
                <w:rFonts w:ascii="仿宋_GB2312" w:hAnsi="仿宋_GB2312" w:cs="仿宋_GB2312" w:eastAsia="仿宋_GB2312"/>
                <w:sz w:val="24"/>
                <w:b/>
                <w:color w:val="000000"/>
              </w:rPr>
              <w:t>应用服务器中间件技术指标要求</w:t>
            </w:r>
          </w:p>
          <w:p>
            <w:pPr>
              <w:pStyle w:val="null3"/>
              <w:spacing w:before="150"/>
              <w:ind w:firstLine="468"/>
              <w:jc w:val="both"/>
            </w:pPr>
            <w:r>
              <w:rPr>
                <w:rFonts w:ascii="仿宋_GB2312" w:hAnsi="仿宋_GB2312" w:cs="仿宋_GB2312" w:eastAsia="仿宋_GB2312"/>
                <w:sz w:val="24"/>
                <w:b/>
                <w:color w:val="000000"/>
              </w:rPr>
              <w:t>需求数量：5套</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、产品应遵循国际标准规范，具有系列型号产品通过Java EE 6、7、8以及Jakarta EE9.1、10等标准规范的官方兼容认证，并逐个提供Java EE和Jakarta EE对上述标准兼容认证的查询网址及网页截图。</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、为方便应用迁移，产品须支持将基于Tomcat、Jetty、Undertow嵌入式开发的SpringBoot应用Jar包自动转换为投标产品的应用部署包，并可选择转换为jar包或者war包类型，并提供产品功能截图。</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、遵循JavaEE、JakartaEE规范，支持同时部署Javax和Jakarta命名空间的应用，并提供产品功能截图。</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、产品应支持使用Brotli算法，提高应用网页加载效率，节省用户的等待时间。</w:t>
            </w:r>
          </w:p>
          <w:p>
            <w:pPr>
              <w:pStyle w:val="null3"/>
              <w:ind w:firstLine="480"/>
            </w:pPr>
            <w:r>
              <w:rPr>
                <w:rFonts w:ascii="仿宋_GB2312" w:hAnsi="仿宋_GB2312" w:cs="仿宋_GB2312" w:eastAsia="仿宋_GB2312"/>
                <w:sz w:val="24"/>
                <w:color w:val="000000"/>
              </w:rPr>
              <w:t>5</w:t>
            </w:r>
            <w:r>
              <w:rPr>
                <w:rFonts w:ascii="仿宋_GB2312" w:hAnsi="仿宋_GB2312" w:cs="仿宋_GB2312" w:eastAsia="仿宋_GB2312"/>
                <w:sz w:val="24"/>
                <w:color w:val="000000"/>
              </w:rPr>
              <w:t>、产品的数据源“健康检查”不依赖SQL语句，不允许在控制台任意写SQL，避免给数据库带来SQL注入风险，并提供产品功能截图。</w:t>
            </w:r>
          </w:p>
          <w:p>
            <w:pPr>
              <w:pStyle w:val="null3"/>
              <w:ind w:firstLine="480"/>
            </w:pPr>
            <w:r>
              <w:rPr>
                <w:rFonts w:ascii="仿宋_GB2312" w:hAnsi="仿宋_GB2312" w:cs="仿宋_GB2312" w:eastAsia="仿宋_GB2312"/>
                <w:sz w:val="24"/>
                <w:color w:val="000000"/>
              </w:rPr>
              <w:t>6</w:t>
            </w:r>
            <w:r>
              <w:rPr>
                <w:rFonts w:ascii="仿宋_GB2312" w:hAnsi="仿宋_GB2312" w:cs="仿宋_GB2312" w:eastAsia="仿宋_GB2312"/>
                <w:sz w:val="24"/>
                <w:color w:val="000000"/>
              </w:rPr>
              <w:t>、产品须支持通过管理控制台查看“忙碌线程”信息，以便帮助用户定位消耗CPU的线程。</w:t>
            </w:r>
          </w:p>
          <w:p>
            <w:pPr>
              <w:pStyle w:val="null3"/>
              <w:ind w:firstLine="480"/>
            </w:pPr>
            <w:r>
              <w:rPr>
                <w:rFonts w:ascii="仿宋_GB2312" w:hAnsi="仿宋_GB2312" w:cs="仿宋_GB2312" w:eastAsia="仿宋_GB2312"/>
                <w:sz w:val="24"/>
                <w:color w:val="000000"/>
              </w:rPr>
              <w:t>7</w:t>
            </w:r>
            <w:r>
              <w:rPr>
                <w:rFonts w:ascii="仿宋_GB2312" w:hAnsi="仿宋_GB2312" w:cs="仿宋_GB2312" w:eastAsia="仿宋_GB2312"/>
                <w:sz w:val="24"/>
                <w:color w:val="000000"/>
              </w:rPr>
              <w:t>、为满足用户快速巡检的需求，产品须具备完善的运行状态监控功能，能够快速查看所有受管节点的运行状态数据，提供产品功能截图。</w:t>
            </w:r>
          </w:p>
          <w:p>
            <w:pPr>
              <w:pStyle w:val="null3"/>
              <w:ind w:firstLine="480"/>
            </w:pPr>
            <w:r>
              <w:rPr>
                <w:rFonts w:ascii="仿宋_GB2312" w:hAnsi="仿宋_GB2312" w:cs="仿宋_GB2312" w:eastAsia="仿宋_GB2312"/>
                <w:sz w:val="24"/>
                <w:color w:val="000000"/>
              </w:rPr>
              <w:t>8</w:t>
            </w:r>
            <w:r>
              <w:rPr>
                <w:rFonts w:ascii="仿宋_GB2312" w:hAnsi="仿宋_GB2312" w:cs="仿宋_GB2312" w:eastAsia="仿宋_GB2312"/>
                <w:sz w:val="24"/>
                <w:color w:val="000000"/>
              </w:rPr>
              <w:t>、为提升易用性，产品提供部署模版功能，通过控制台进行的应用部署操作可导出为部署模版，方便用户复用应用部署设置，提供产品功能截图。</w:t>
            </w:r>
          </w:p>
          <w:p>
            <w:pPr>
              <w:pStyle w:val="null3"/>
              <w:ind w:firstLine="480"/>
            </w:pPr>
            <w:r>
              <w:rPr>
                <w:rFonts w:ascii="仿宋_GB2312" w:hAnsi="仿宋_GB2312" w:cs="仿宋_GB2312" w:eastAsia="仿宋_GB2312"/>
                <w:sz w:val="24"/>
                <w:color w:val="000000"/>
              </w:rPr>
              <w:t>9</w:t>
            </w:r>
            <w:r>
              <w:rPr>
                <w:rFonts w:ascii="仿宋_GB2312" w:hAnsi="仿宋_GB2312" w:cs="仿宋_GB2312" w:eastAsia="仿宋_GB2312"/>
                <w:sz w:val="24"/>
                <w:color w:val="000000"/>
              </w:rPr>
              <w:t>、产品须支持对功能模块化使用，支持启用需要的功能模块，比如：应用、集群、数据源等，对于不需要的功能模块可以禁用，并提供产品功能截图。</w:t>
            </w:r>
          </w:p>
          <w:p>
            <w:pPr>
              <w:pStyle w:val="null3"/>
              <w:ind w:firstLine="480"/>
            </w:pPr>
            <w:r>
              <w:rPr>
                <w:rFonts w:ascii="仿宋_GB2312" w:hAnsi="仿宋_GB2312" w:cs="仿宋_GB2312" w:eastAsia="仿宋_GB2312"/>
                <w:sz w:val="24"/>
                <w:color w:val="000000"/>
              </w:rPr>
              <w:t>10</w:t>
            </w:r>
            <w:r>
              <w:rPr>
                <w:rFonts w:ascii="仿宋_GB2312" w:hAnsi="仿宋_GB2312" w:cs="仿宋_GB2312" w:eastAsia="仿宋_GB2312"/>
                <w:sz w:val="24"/>
                <w:color w:val="000000"/>
              </w:rPr>
              <w:t>、为便于用户进行功能查找，产品需要支持关键字的全局搜索，快速定位至具体的功能点，并提供产品功能截图。</w:t>
            </w:r>
          </w:p>
          <w:p>
            <w:pPr>
              <w:pStyle w:val="null3"/>
              <w:ind w:firstLine="480"/>
            </w:pPr>
            <w:r>
              <w:rPr>
                <w:rFonts w:ascii="仿宋_GB2312" w:hAnsi="仿宋_GB2312" w:cs="仿宋_GB2312" w:eastAsia="仿宋_GB2312"/>
                <w:sz w:val="24"/>
                <w:color w:val="000000"/>
              </w:rPr>
              <w:t>11</w:t>
            </w:r>
            <w:r>
              <w:rPr>
                <w:rFonts w:ascii="仿宋_GB2312" w:hAnsi="仿宋_GB2312" w:cs="仿宋_GB2312" w:eastAsia="仿宋_GB2312"/>
                <w:sz w:val="24"/>
                <w:color w:val="000000"/>
              </w:rPr>
              <w:t>、为了保障应用在高并发I/O场景下的资源利用率和系统吞吐量，产品需支持JDK21新特性虚拟线程。提供产品功能截图。</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、产品须支持配置安全策略，提供“禁用时间段”功能，可设定应用允许的访问时间，便于对应用的访问时间进行控制。</w:t>
            </w:r>
          </w:p>
          <w:p>
            <w:pPr>
              <w:pStyle w:val="null3"/>
              <w:ind w:firstLine="480"/>
            </w:pPr>
            <w:r>
              <w:rPr>
                <w:rFonts w:ascii="仿宋_GB2312" w:hAnsi="仿宋_GB2312" w:cs="仿宋_GB2312" w:eastAsia="仿宋_GB2312"/>
                <w:sz w:val="24"/>
                <w:color w:val="000000"/>
              </w:rPr>
              <w:t>13</w:t>
            </w:r>
            <w:r>
              <w:rPr>
                <w:rFonts w:ascii="仿宋_GB2312" w:hAnsi="仿宋_GB2312" w:cs="仿宋_GB2312" w:eastAsia="仿宋_GB2312"/>
                <w:sz w:val="24"/>
                <w:color w:val="000000"/>
              </w:rPr>
              <w:t>、产品提供无痕密钥能力，密钥不以任何形式存储在文件系统中，大幅减少密钥泄露风险，加固系统密钥的安全性，并提供产品功能截图。</w:t>
            </w:r>
          </w:p>
          <w:p>
            <w:pPr>
              <w:pStyle w:val="null3"/>
              <w:ind w:firstLine="480"/>
            </w:pPr>
            <w:r>
              <w:rPr>
                <w:rFonts w:ascii="仿宋_GB2312" w:hAnsi="仿宋_GB2312" w:cs="仿宋_GB2312" w:eastAsia="仿宋_GB2312"/>
                <w:sz w:val="24"/>
                <w:color w:val="000000"/>
              </w:rPr>
              <w:t>14</w:t>
            </w:r>
            <w:r>
              <w:rPr>
                <w:rFonts w:ascii="仿宋_GB2312" w:hAnsi="仿宋_GB2312" w:cs="仿宋_GB2312" w:eastAsia="仿宋_GB2312"/>
                <w:sz w:val="24"/>
                <w:color w:val="000000"/>
              </w:rPr>
              <w:t>、产品管理控制台登录支持手机令牌动态密码方式，保证服务器在不联网情况下对用户身份进行鉴别，保障控制台使用安全，并提供产品功能截图。</w:t>
            </w:r>
          </w:p>
          <w:p>
            <w:pPr>
              <w:pStyle w:val="null3"/>
              <w:ind w:firstLine="480"/>
            </w:pPr>
            <w:r>
              <w:rPr>
                <w:rFonts w:ascii="仿宋_GB2312" w:hAnsi="仿宋_GB2312" w:cs="仿宋_GB2312" w:eastAsia="仿宋_GB2312"/>
                <w:sz w:val="24"/>
                <w:color w:val="000000"/>
              </w:rPr>
              <w:t>15</w:t>
            </w:r>
            <w:r>
              <w:rPr>
                <w:rFonts w:ascii="仿宋_GB2312" w:hAnsi="仿宋_GB2312" w:cs="仿宋_GB2312" w:eastAsia="仿宋_GB2312"/>
                <w:sz w:val="24"/>
                <w:color w:val="000000"/>
              </w:rPr>
              <w:t>、产品需通过中国网络安全审查技术与认证中心的IT产品信息安全认证，符合CCRC-TR-128-2023《中间件安全技术要求和测试评价方法》,提供IT产品信息安全认证证书和IT产品信息安全认证型式试验报告。</w:t>
            </w:r>
          </w:p>
          <w:p>
            <w:pPr>
              <w:pStyle w:val="null3"/>
              <w:ind w:firstLine="480"/>
            </w:pPr>
            <w:r>
              <w:rPr>
                <w:rFonts w:ascii="仿宋_GB2312" w:hAnsi="仿宋_GB2312" w:cs="仿宋_GB2312" w:eastAsia="仿宋_GB2312"/>
                <w:sz w:val="24"/>
                <w:color w:val="000000"/>
              </w:rPr>
              <w:t>16</w:t>
            </w:r>
            <w:r>
              <w:rPr>
                <w:rFonts w:ascii="仿宋_GB2312" w:hAnsi="仿宋_GB2312" w:cs="仿宋_GB2312" w:eastAsia="仿宋_GB2312"/>
                <w:sz w:val="24"/>
                <w:color w:val="000000"/>
              </w:rPr>
              <w:t>、产品经第三方权威机构安全扫描，提供《代码安全性审查报告》。证明产品代码中不存在未释放资源、内存泄露、硬编码、空指针调用、死代码、错误处理、死循环等编码规范问题。</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17</w:t>
            </w:r>
            <w:r>
              <w:rPr>
                <w:rFonts w:ascii="仿宋_GB2312" w:hAnsi="仿宋_GB2312" w:cs="仿宋_GB2312" w:eastAsia="仿宋_GB2312"/>
                <w:sz w:val="24"/>
                <w:color w:val="000000"/>
              </w:rPr>
              <w:t>、应用服务器中间件要求原厂三年服务，提供原厂家三年售后服务承诺函。</w:t>
            </w:r>
          </w:p>
          <w:p>
            <w:pPr>
              <w:pStyle w:val="null3"/>
              <w:ind w:firstLine="640"/>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color w:val="000000"/>
              </w:rPr>
              <w:t>数据库技术参数技术指标要求</w:t>
            </w:r>
          </w:p>
          <w:p>
            <w:pPr>
              <w:pStyle w:val="null3"/>
              <w:ind w:firstLine="482"/>
            </w:pPr>
            <w:r>
              <w:rPr>
                <w:rFonts w:ascii="仿宋_GB2312" w:hAnsi="仿宋_GB2312" w:cs="仿宋_GB2312" w:eastAsia="仿宋_GB2312"/>
                <w:sz w:val="24"/>
                <w:b/>
                <w:color w:val="000000"/>
              </w:rPr>
              <w:t>需求数量：14套</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、数据库基本要求：</w:t>
            </w:r>
          </w:p>
          <w:p>
            <w:pPr>
              <w:pStyle w:val="null3"/>
              <w:ind w:firstLine="480"/>
            </w:pPr>
            <w:r>
              <w:rPr>
                <w:rFonts w:ascii="仿宋_GB2312" w:hAnsi="仿宋_GB2312" w:cs="仿宋_GB2312" w:eastAsia="仿宋_GB2312"/>
                <w:sz w:val="24"/>
                <w:color w:val="000000"/>
              </w:rPr>
              <w:t>1.1、产品符合《安全可靠测评工作指南（试行）》要求，达到安全可靠等级I级，提供网站截图并加盖原厂商公章。</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数据库为国产品牌，采用成熟技术的具有自主知识产权的国产数据库软件，避免潜在的版权纠纷，要求软件自主可控，从底层保证系统的安全性，需获得国家网络与信息系统安全产品质量监督检验中心的产品自主原创性测评证书，提供证书复印件并加盖原厂商公章。</w:t>
            </w:r>
          </w:p>
          <w:p>
            <w:pPr>
              <w:pStyle w:val="null3"/>
              <w:ind w:firstLine="480"/>
            </w:pPr>
            <w:r>
              <w:rPr>
                <w:rFonts w:ascii="仿宋_GB2312" w:hAnsi="仿宋_GB2312" w:cs="仿宋_GB2312" w:eastAsia="仿宋_GB2312"/>
                <w:sz w:val="24"/>
                <w:color w:val="000000"/>
              </w:rPr>
              <w:t>1.3</w:t>
            </w:r>
            <w:r>
              <w:rPr>
                <w:rFonts w:ascii="仿宋_GB2312" w:hAnsi="仿宋_GB2312" w:cs="仿宋_GB2312" w:eastAsia="仿宋_GB2312"/>
                <w:sz w:val="24"/>
                <w:color w:val="000000"/>
              </w:rPr>
              <w:t>、产品通过中国网络安全审查技术与认证中心检测，获得中国国家信息安全产品与网络关键设备和网络安全专用产品双认证，提供证书复印件并加盖原厂商公章。</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、兼容性要求：</w:t>
            </w:r>
          </w:p>
          <w:p>
            <w:pPr>
              <w:pStyle w:val="null3"/>
              <w:ind w:firstLine="480"/>
            </w:pPr>
            <w:r>
              <w:rPr>
                <w:rFonts w:ascii="仿宋_GB2312" w:hAnsi="仿宋_GB2312" w:cs="仿宋_GB2312" w:eastAsia="仿宋_GB2312"/>
                <w:sz w:val="24"/>
                <w:color w:val="000000"/>
              </w:rPr>
              <w:t>2.1</w:t>
            </w:r>
            <w:r>
              <w:rPr>
                <w:rFonts w:ascii="仿宋_GB2312" w:hAnsi="仿宋_GB2312" w:cs="仿宋_GB2312" w:eastAsia="仿宋_GB2312"/>
                <w:sz w:val="24"/>
                <w:color w:val="000000"/>
              </w:rPr>
              <w:t>、支持国产操作系统：麒麟、统信、中科方德等；支持国产芯片：鲲鹏、海光、飞腾、龙芯、申威、兆芯等；支持国产应用服务器中间件：宝兰德、金蝶、东方通、中创等。提供兼容证明材料。</w:t>
            </w:r>
          </w:p>
          <w:p>
            <w:pPr>
              <w:pStyle w:val="null3"/>
              <w:ind w:firstLine="480"/>
            </w:pPr>
            <w:r>
              <w:rPr>
                <w:rFonts w:ascii="仿宋_GB2312" w:hAnsi="仿宋_GB2312" w:cs="仿宋_GB2312" w:eastAsia="仿宋_GB2312"/>
                <w:sz w:val="24"/>
                <w:color w:val="000000"/>
              </w:rPr>
              <w:t>2.2、数据库支持Oracle、Postgresql、MySQL模式 ，在三种兼容模式下都支持相同函数名的聚集函数和分析函数，包括AVG、MIN、MAX、SUM、ANY_VALUE函数等，且ANY_VALUE函数参数支持任意基础数据类型如整型、字符型、大对象、日期时间类型，且支持ALL、DISTINCT和ORDER BY可选项使用。提供测试报告并加盖原厂公章。</w:t>
            </w:r>
          </w:p>
          <w:p>
            <w:pPr>
              <w:pStyle w:val="null3"/>
              <w:ind w:firstLine="480"/>
            </w:pPr>
            <w:r>
              <w:rPr>
                <w:rFonts w:ascii="仿宋_GB2312" w:hAnsi="仿宋_GB2312" w:cs="仿宋_GB2312" w:eastAsia="仿宋_GB2312"/>
                <w:sz w:val="24"/>
                <w:color w:val="000000"/>
              </w:rPr>
              <w:t>2.3</w:t>
            </w:r>
            <w:r>
              <w:rPr>
                <w:rFonts w:ascii="仿宋_GB2312" w:hAnsi="仿宋_GB2312" w:cs="仿宋_GB2312" w:eastAsia="仿宋_GB2312"/>
                <w:sz w:val="24"/>
                <w:color w:val="000000"/>
              </w:rPr>
              <w:t>、兼容Oracle Row Movement分区表自动行移动功能。支持当此功能启用时，如表更新操作导致某行的分区键值发生变化且此行所属分区改变，该行可自动从原分区移动到新分区；支持在CREATE TABLE与ALTER TABLE语句中，通过ENABLE/DISABLE ROW MOVEMENT子句开启或关闭其功能。提供测试报告并加盖原厂公章。</w:t>
            </w:r>
          </w:p>
          <w:p>
            <w:pPr>
              <w:pStyle w:val="null3"/>
              <w:ind w:firstLine="480"/>
            </w:pPr>
            <w:r>
              <w:rPr>
                <w:rFonts w:ascii="仿宋_GB2312" w:hAnsi="仿宋_GB2312" w:cs="仿宋_GB2312" w:eastAsia="仿宋_GB2312"/>
                <w:sz w:val="24"/>
                <w:color w:val="000000"/>
              </w:rPr>
              <w:t>2.4、兼容MySQL对普通表、分区表新增列并指定列位置，更改列到用户指定位置的语法和功能支持指定新增列和更改列的类型、注释、非空状态、默认值等属性。提供测试报告并加盖原厂公章。</w:t>
            </w:r>
          </w:p>
          <w:p>
            <w:pPr>
              <w:pStyle w:val="null3"/>
              <w:ind w:firstLine="480"/>
            </w:pPr>
            <w:r>
              <w:rPr>
                <w:rFonts w:ascii="仿宋_GB2312" w:hAnsi="仿宋_GB2312" w:cs="仿宋_GB2312" w:eastAsia="仿宋_GB2312"/>
                <w:sz w:val="24"/>
                <w:color w:val="000000"/>
              </w:rPr>
              <w:t>2.5</w:t>
            </w:r>
            <w:r>
              <w:rPr>
                <w:rFonts w:ascii="仿宋_GB2312" w:hAnsi="仿宋_GB2312" w:cs="仿宋_GB2312" w:eastAsia="仿宋_GB2312"/>
                <w:sz w:val="24"/>
                <w:color w:val="000000"/>
              </w:rPr>
              <w:t>、支持兼容SQLServer的SET设置参数语法，能够设置参数包括LANGUAGE、NOCOUNT、IMPLICIT_TRANSACTIONS、ARITHABORT、DATEFIRST、ANSI_NULL_DFLT_OFF、MAX_PRECISION、ANSI_NULL_DFLT_ON、ANSI_NULLS、ANSI_PADDING、ANSI_WARNINGS等。提供测试报告并加盖原厂公章。</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、安全性要求：</w:t>
            </w:r>
          </w:p>
          <w:p>
            <w:pPr>
              <w:pStyle w:val="null3"/>
              <w:ind w:firstLine="480"/>
            </w:pPr>
            <w:r>
              <w:rPr>
                <w:rFonts w:ascii="仿宋_GB2312" w:hAnsi="仿宋_GB2312" w:cs="仿宋_GB2312" w:eastAsia="仿宋_GB2312"/>
                <w:sz w:val="24"/>
                <w:color w:val="000000"/>
              </w:rPr>
              <w:t>3.1</w:t>
            </w:r>
            <w:r>
              <w:rPr>
                <w:rFonts w:ascii="仿宋_GB2312" w:hAnsi="仿宋_GB2312" w:cs="仿宋_GB2312" w:eastAsia="仿宋_GB2312"/>
                <w:sz w:val="24"/>
                <w:color w:val="000000"/>
              </w:rPr>
              <w:t>、数据存储支持透明存储加密和手动数据加密功能，其中加密算法支持对称加密算法RC4、AES、DES/3DES、Blowfish、SM4；支持非对称加密算法SM2；支持摘要算法MD5；支持散列函数算法SM3多种算法。提供测试报告并加盖原厂公章。</w:t>
            </w:r>
          </w:p>
          <w:p>
            <w:pPr>
              <w:pStyle w:val="null3"/>
              <w:ind w:firstLine="480"/>
            </w:pPr>
            <w:r>
              <w:rPr>
                <w:rFonts w:ascii="仿宋_GB2312" w:hAnsi="仿宋_GB2312" w:cs="仿宋_GB2312" w:eastAsia="仿宋_GB2312"/>
                <w:sz w:val="24"/>
                <w:color w:val="000000"/>
              </w:rPr>
              <w:t>3.2</w:t>
            </w:r>
            <w:r>
              <w:rPr>
                <w:rFonts w:ascii="仿宋_GB2312" w:hAnsi="仿宋_GB2312" w:cs="仿宋_GB2312" w:eastAsia="仿宋_GB2312"/>
                <w:sz w:val="24"/>
                <w:color w:val="000000"/>
              </w:rPr>
              <w:t>、支持数据库基于全量、差异、文件增量等多种备份集类型执行块级增量备份与恢复，并提供块增量备份集的合并功能。提供测试报告并加盖原厂公章。</w:t>
            </w:r>
          </w:p>
          <w:p>
            <w:pPr>
              <w:pStyle w:val="null3"/>
              <w:ind w:firstLine="480"/>
            </w:pPr>
            <w:r>
              <w:rPr>
                <w:rFonts w:ascii="仿宋_GB2312" w:hAnsi="仿宋_GB2312" w:cs="仿宋_GB2312" w:eastAsia="仿宋_GB2312"/>
                <w:sz w:val="24"/>
                <w:color w:val="000000"/>
              </w:rPr>
              <w:t>3.3</w:t>
            </w:r>
            <w:r>
              <w:rPr>
                <w:rFonts w:ascii="仿宋_GB2312" w:hAnsi="仿宋_GB2312" w:cs="仿宋_GB2312" w:eastAsia="仿宋_GB2312"/>
                <w:sz w:val="24"/>
                <w:color w:val="000000"/>
              </w:rPr>
              <w:t>、提供SQL防火墙功能，支持为不同用户单独设置不同的SQL防火墙策略，可设置指定用户连接数据库，并仅执行已授权的SQL语句，同时可检测、阻止和记录任何意外的SQL语句，有效降低SQL注入攻击、异常访问以及凭据盗窃或滥用的风险。提供测试报告并加盖原厂公章。</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、迁移能力要求：</w:t>
            </w:r>
          </w:p>
          <w:p>
            <w:pPr>
              <w:pStyle w:val="null3"/>
              <w:ind w:firstLine="480"/>
            </w:pPr>
            <w:r>
              <w:rPr>
                <w:rFonts w:ascii="仿宋_GB2312" w:hAnsi="仿宋_GB2312" w:cs="仿宋_GB2312" w:eastAsia="仿宋_GB2312"/>
                <w:sz w:val="24"/>
                <w:color w:val="000000"/>
              </w:rPr>
              <w:t>支持异构数据库Oracle 9i、Oracle10g、Oracle 11g、Oracle 12C、Oracle 19C、支持SqlServer 2000、SqlServer 2005、SqlServer 2008、SqlServer 2012、SqlServer 2014；支持MySQL V5.7、MySQL8平滑迁移。</w:t>
            </w:r>
          </w:p>
          <w:p>
            <w:pPr>
              <w:pStyle w:val="null3"/>
              <w:ind w:firstLine="480"/>
            </w:pPr>
            <w:r>
              <w:rPr>
                <w:rFonts w:ascii="仿宋_GB2312" w:hAnsi="仿宋_GB2312" w:cs="仿宋_GB2312" w:eastAsia="仿宋_GB2312"/>
                <w:sz w:val="24"/>
                <w:color w:val="000000"/>
              </w:rPr>
              <w:t>5</w:t>
            </w:r>
            <w:r>
              <w:rPr>
                <w:rFonts w:ascii="仿宋_GB2312" w:hAnsi="仿宋_GB2312" w:cs="仿宋_GB2312" w:eastAsia="仿宋_GB2312"/>
                <w:sz w:val="24"/>
                <w:color w:val="000000"/>
              </w:rPr>
              <w:t>、高可用能力要求</w:t>
            </w:r>
          </w:p>
          <w:p>
            <w:pPr>
              <w:pStyle w:val="null3"/>
              <w:ind w:firstLine="480"/>
            </w:pPr>
            <w:r>
              <w:rPr>
                <w:rFonts w:ascii="仿宋_GB2312" w:hAnsi="仿宋_GB2312" w:cs="仿宋_GB2312" w:eastAsia="仿宋_GB2312"/>
                <w:sz w:val="24"/>
                <w:color w:val="000000"/>
              </w:rPr>
              <w:t>具备高可用功能，支持主备集群，支持数据零丢失，即主库故障，备库自动切换为主库，且数据与原主库数据一致。支持读写分离，能根据需求实现不同的读写负载分发。</w:t>
            </w:r>
          </w:p>
          <w:p>
            <w:pPr>
              <w:pStyle w:val="null3"/>
              <w:ind w:firstLine="480"/>
            </w:pPr>
            <w:r>
              <w:rPr>
                <w:rFonts w:ascii="仿宋_GB2312" w:hAnsi="仿宋_GB2312" w:cs="仿宋_GB2312" w:eastAsia="仿宋_GB2312"/>
                <w:sz w:val="24"/>
                <w:color w:val="000000"/>
              </w:rPr>
              <w:t>6、数据库集群管理</w:t>
            </w:r>
          </w:p>
          <w:p>
            <w:pPr>
              <w:pStyle w:val="null3"/>
              <w:ind w:firstLine="480"/>
            </w:pPr>
            <w:r>
              <w:rPr>
                <w:rFonts w:ascii="仿宋_GB2312" w:hAnsi="仿宋_GB2312" w:cs="仿宋_GB2312" w:eastAsia="仿宋_GB2312"/>
                <w:sz w:val="24"/>
                <w:color w:val="000000"/>
              </w:rPr>
              <w:t>满足三秦智医助理系统部署要求，实现数据库集群管理功能，具体集群数量按系统实际部署需求定。</w:t>
            </w:r>
          </w:p>
          <w:p>
            <w:pPr>
              <w:pStyle w:val="null3"/>
              <w:ind w:firstLine="640"/>
              <w:jc w:val="both"/>
            </w:pPr>
            <w:r>
              <w:rPr>
                <w:rFonts w:ascii="仿宋_GB2312" w:hAnsi="仿宋_GB2312" w:cs="仿宋_GB2312" w:eastAsia="仿宋_GB2312"/>
                <w:sz w:val="24"/>
              </w:rPr>
              <w:t>▲7、数据库</w:t>
            </w:r>
            <w:r>
              <w:rPr>
                <w:rFonts w:ascii="仿宋_GB2312" w:hAnsi="仿宋_GB2312" w:cs="仿宋_GB2312" w:eastAsia="仿宋_GB2312"/>
                <w:sz w:val="24"/>
              </w:rPr>
              <w:t>要求原厂三年服务，提供原厂家三年售后服务承诺函。</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color w:val="000000"/>
              </w:rPr>
              <w:t>系统部署及技术保障</w:t>
            </w:r>
          </w:p>
          <w:p>
            <w:pPr>
              <w:pStyle w:val="null3"/>
              <w:ind w:firstLine="482"/>
            </w:pPr>
            <w:r>
              <w:rPr>
                <w:rFonts w:ascii="仿宋_GB2312" w:hAnsi="仿宋_GB2312" w:cs="仿宋_GB2312" w:eastAsia="仿宋_GB2312"/>
                <w:sz w:val="21"/>
                <w:b/>
                <w:color w:val="000000"/>
              </w:rPr>
              <w:t xml:space="preserve">        实施数量：1项</w:t>
            </w:r>
          </w:p>
          <w:p>
            <w:pPr>
              <w:pStyle w:val="null3"/>
              <w:spacing w:before="150"/>
              <w:ind w:firstLine="468"/>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中标方负责在市级政务云健康专区一次性完成基层卫生一体化应用子系统、基层人工智能辅助智慧医疗子系统和基层卫生综合监管子系统的部署，并负责系统的日常运行维护、性能优化与安全保障工作。具体包括但不限于：包括与省级中标单位的技术协调；主动监控软件运行状态，识别性能瓶颈，主导实施系统架构优化、数据库性能调优；进行系统日志分析，识别潜在风险，制定并执行应对措施；提供对国产化操作系统、数据库、中间件的安装部署、调试测试、基础运维与故障处理支持；负责市级部署系统的日常备份与恢复演练；协调并配合省级单位进行必要的补丁更新或重大架构变更；</w:t>
            </w:r>
            <w:r>
              <w:rPr>
                <w:rFonts w:ascii="仿宋_GB2312" w:hAnsi="仿宋_GB2312" w:cs="仿宋_GB2312" w:eastAsia="仿宋_GB2312"/>
                <w:sz w:val="24"/>
                <w:color w:val="000000"/>
              </w:rPr>
              <w:t>配合市政务云做好系统运行过程中的安全保障服务。</w:t>
            </w:r>
          </w:p>
          <w:p>
            <w:pPr>
              <w:pStyle w:val="null3"/>
              <w:ind w:firstLine="640"/>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color w:val="000000"/>
              </w:rPr>
              <w:t>配合推进设备采购</w:t>
            </w:r>
          </w:p>
          <w:p>
            <w:pPr>
              <w:pStyle w:val="null3"/>
              <w:spacing w:before="150"/>
              <w:ind w:left="480"/>
            </w:pPr>
            <w:r>
              <w:rPr>
                <w:rFonts w:ascii="仿宋_GB2312" w:hAnsi="仿宋_GB2312" w:cs="仿宋_GB2312" w:eastAsia="仿宋_GB2312"/>
                <w:sz w:val="21"/>
                <w:b/>
                <w:color w:val="000000"/>
              </w:rPr>
              <w:t>实施数量：1项【渭南市十一个县、市、区，213个卫生院(社区卫生服务中心)、2058个村卫生室(社区卫生服务站)的“三秦智医 ”项目实施工作】</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本项目”中标方对照省级“三秦智医”推荐技术参数和数量要求，在</w:t>
            </w:r>
            <w:r>
              <w:rPr>
                <w:rFonts w:ascii="仿宋_GB2312" w:hAnsi="仿宋_GB2312" w:cs="仿宋_GB2312" w:eastAsia="仿宋_GB2312"/>
                <w:sz w:val="24"/>
                <w:color w:val="000000"/>
              </w:rPr>
              <w:t>对电脑终端、外设设备等完成测试的基础上，协助所实施县（市区）卫健局梳理应增配采购设备的数量。内容包括但不限于机构科室设置、医疗设备、外网配置、内网布</w:t>
            </w:r>
            <w:r>
              <w:rPr>
                <w:rFonts w:ascii="仿宋_GB2312" w:hAnsi="仿宋_GB2312" w:cs="仿宋_GB2312" w:eastAsia="仿宋_GB2312"/>
                <w:sz w:val="24"/>
                <w:color w:val="000000"/>
              </w:rPr>
              <w:t>线、终端电脑、网络安全设备、采集卡、输入输出设备等。</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color w:val="000000"/>
              </w:rPr>
              <w:t>接口开发需求调研</w:t>
            </w:r>
          </w:p>
          <w:p>
            <w:pPr>
              <w:pStyle w:val="null3"/>
              <w:spacing w:before="30"/>
              <w:ind w:left="480"/>
            </w:pPr>
            <w:r>
              <w:rPr>
                <w:rFonts w:ascii="仿宋_GB2312" w:hAnsi="仿宋_GB2312" w:cs="仿宋_GB2312" w:eastAsia="仿宋_GB2312"/>
                <w:sz w:val="21"/>
                <w:b/>
                <w:color w:val="000000"/>
              </w:rPr>
              <w:t>实施数量：1项（渭南市域内运行的市级、县级医疗平台）</w:t>
            </w:r>
          </w:p>
          <w:p>
            <w:pPr>
              <w:pStyle w:val="null3"/>
              <w:spacing w:before="150"/>
              <w:ind w:firstLine="480"/>
              <w:jc w:val="both"/>
            </w:pPr>
            <w:r>
              <w:rPr>
                <w:rFonts w:ascii="仿宋_GB2312" w:hAnsi="仿宋_GB2312" w:cs="仿宋_GB2312" w:eastAsia="仿宋_GB2312"/>
                <w:sz w:val="24"/>
                <w:color w:val="000000"/>
              </w:rPr>
              <w:t>按照“三秦智医”项目设计要求，“本项目”中标方</w:t>
            </w:r>
            <w:r>
              <w:rPr>
                <w:rFonts w:ascii="仿宋_GB2312" w:hAnsi="仿宋_GB2312" w:cs="仿宋_GB2312" w:eastAsia="仿宋_GB2312"/>
                <w:sz w:val="24"/>
                <w:color w:val="000000"/>
              </w:rPr>
              <w:t>对照“三秦智医”推荐技术参</w:t>
            </w:r>
            <w:r>
              <w:rPr>
                <w:rFonts w:ascii="仿宋_GB2312" w:hAnsi="仿宋_GB2312" w:cs="仿宋_GB2312" w:eastAsia="仿宋_GB2312"/>
                <w:sz w:val="24"/>
                <w:color w:val="000000"/>
              </w:rPr>
              <w:t>数，结合渭南市、县两级实际现状，对所需外联平台进行调研，调研内容包含但不限于渭南市域内运行的市级、县级远程医疗平台、互联网服务平台、电子健康卡平台、</w:t>
            </w:r>
            <w:r>
              <w:rPr>
                <w:rFonts w:ascii="仿宋_GB2312" w:hAnsi="仿宋_GB2312" w:cs="仿宋_GB2312" w:eastAsia="仿宋_GB2312"/>
                <w:sz w:val="24"/>
                <w:color w:val="000000"/>
              </w:rPr>
              <w:t>健康医疗大数据平台、</w:t>
            </w:r>
            <w:r>
              <w:rPr>
                <w:rFonts w:ascii="仿宋_GB2312" w:hAnsi="仿宋_GB2312" w:cs="仿宋_GB2312" w:eastAsia="仿宋_GB2312"/>
                <w:sz w:val="24"/>
                <w:color w:val="000000"/>
              </w:rPr>
              <w:t>医疗机构电子票据平台、家庭医生签约服务平台、县域医共体平台、陕西省全员人口系统、婚育健康平台、健康素养调查平台、健康渭南服务门户、区域检查检验结果互认系统、区域麻精药品监管系统、健康科普资源库妇幼</w:t>
            </w:r>
            <w:r>
              <w:rPr>
                <w:rFonts w:ascii="仿宋_GB2312" w:hAnsi="仿宋_GB2312" w:cs="仿宋_GB2312" w:eastAsia="仿宋_GB2312"/>
                <w:sz w:val="24"/>
                <w:color w:val="000000"/>
              </w:rPr>
              <w:t>保健信息平台或应用等，并配合完成相关平</w:t>
            </w:r>
            <w:r>
              <w:rPr>
                <w:rFonts w:ascii="仿宋_GB2312" w:hAnsi="仿宋_GB2312" w:cs="仿宋_GB2312" w:eastAsia="仿宋_GB2312"/>
                <w:sz w:val="24"/>
                <w:color w:val="000000"/>
              </w:rPr>
              <w:t>台对接工作。</w:t>
            </w:r>
          </w:p>
          <w:p>
            <w:pPr>
              <w:pStyle w:val="null3"/>
              <w:spacing w:before="30"/>
              <w:ind w:firstLine="482"/>
            </w:pPr>
            <w:r>
              <w:rPr>
                <w:rFonts w:ascii="仿宋_GB2312" w:hAnsi="仿宋_GB2312" w:cs="仿宋_GB2312" w:eastAsia="仿宋_GB2312"/>
                <w:sz w:val="24"/>
                <w:color w:val="000000"/>
              </w:rPr>
              <w:t>注：具体对接数量由“本项目”应用方和中标方在省级“三秦智医”项目要求内容的基础上，根据</w:t>
            </w:r>
            <w:r>
              <w:rPr>
                <w:rFonts w:ascii="仿宋_GB2312" w:hAnsi="仿宋_GB2312" w:cs="仿宋_GB2312" w:eastAsia="仿宋_GB2312"/>
                <w:sz w:val="24"/>
                <w:color w:val="000000"/>
              </w:rPr>
              <w:t>实际</w:t>
            </w:r>
            <w:r>
              <w:rPr>
                <w:rFonts w:ascii="仿宋_GB2312" w:hAnsi="仿宋_GB2312" w:cs="仿宋_GB2312" w:eastAsia="仿宋_GB2312"/>
                <w:sz w:val="24"/>
                <w:color w:val="000000"/>
              </w:rPr>
              <w:t>状况商定。</w:t>
            </w:r>
          </w:p>
          <w:p>
            <w:pPr>
              <w:pStyle w:val="null3"/>
              <w:jc w:val="both"/>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b/>
                <w:color w:val="000000"/>
              </w:rPr>
              <w:t>历史数据迁移</w:t>
            </w:r>
          </w:p>
          <w:p>
            <w:pPr>
              <w:pStyle w:val="null3"/>
              <w:spacing w:before="30"/>
              <w:ind w:left="480"/>
            </w:pPr>
            <w:r>
              <w:rPr>
                <w:rFonts w:ascii="仿宋_GB2312" w:hAnsi="仿宋_GB2312" w:cs="仿宋_GB2312" w:eastAsia="仿宋_GB2312"/>
                <w:sz w:val="21"/>
                <w:b/>
                <w:color w:val="000000"/>
              </w:rPr>
              <w:t>实施数量：1项（十一个县、市、区基卫HIS平台）</w:t>
            </w:r>
          </w:p>
          <w:p>
            <w:pPr>
              <w:pStyle w:val="null3"/>
              <w:ind w:firstLine="640"/>
              <w:jc w:val="both"/>
            </w:pPr>
            <w:r>
              <w:rPr>
                <w:rFonts w:ascii="仿宋_GB2312" w:hAnsi="仿宋_GB2312" w:cs="仿宋_GB2312" w:eastAsia="仿宋_GB2312"/>
                <w:sz w:val="24"/>
                <w:color w:val="000000"/>
              </w:rPr>
              <w:t>“本项目”中标方需加强与省级“三秦智医助理”项目包3</w:t>
            </w:r>
            <w:r>
              <w:rPr>
                <w:rFonts w:ascii="仿宋_GB2312" w:hAnsi="仿宋_GB2312" w:cs="仿宋_GB2312" w:eastAsia="仿宋_GB2312"/>
                <w:sz w:val="21"/>
                <w:color w:val="000000"/>
              </w:rPr>
              <w:t>（数据资源建设、数据迁移）</w:t>
            </w:r>
            <w:r>
              <w:rPr>
                <w:rFonts w:ascii="仿宋_GB2312" w:hAnsi="仿宋_GB2312" w:cs="仿宋_GB2312" w:eastAsia="仿宋_GB2312"/>
                <w:sz w:val="24"/>
                <w:color w:val="000000"/>
              </w:rPr>
              <w:t>中标人的沟通协作，深入理解省级提供的迁移工具、脚本和方案，负责渭南市十一个县（市、区）历史数据迁移；负责对迁移至本市的数据进行清洗、校验（制定校验规则并执行）、格式转换、逻辑关联等处理，确保数据完整性、准确性和一致性符合本市业务要求；负责将处理后的可用历史数据导入新系统进行初始化配置和维护；制定并执行新旧系统并行及切换方案，确保基本公卫、财务、医保等连续性业务平稳过渡，数据零丢失；提供详细的数据迁移方案、清洗校验报告、迁移完成报告及新旧系统数据比对报告；密切配合省级包3</w:t>
            </w:r>
            <w:r>
              <w:rPr>
                <w:rFonts w:ascii="仿宋_GB2312" w:hAnsi="仿宋_GB2312" w:cs="仿宋_GB2312" w:eastAsia="仿宋_GB2312"/>
                <w:sz w:val="21"/>
                <w:color w:val="000000"/>
              </w:rPr>
              <w:t>（数据资源建设、数据迁移）</w:t>
            </w:r>
            <w:r>
              <w:rPr>
                <w:rFonts w:ascii="仿宋_GB2312" w:hAnsi="仿宋_GB2312" w:cs="仿宋_GB2312" w:eastAsia="仿宋_GB2312"/>
                <w:sz w:val="24"/>
                <w:color w:val="000000"/>
              </w:rPr>
              <w:t>团队，及时沟通解决迁移过程中的问题。</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color w:val="000000"/>
              </w:rPr>
              <w:t>基层医疗卫生机构的实施</w:t>
            </w:r>
          </w:p>
          <w:p>
            <w:pPr>
              <w:pStyle w:val="null3"/>
              <w:spacing w:before="30"/>
              <w:ind w:left="480"/>
            </w:pPr>
            <w:r>
              <w:rPr>
                <w:rFonts w:ascii="仿宋_GB2312" w:hAnsi="仿宋_GB2312" w:cs="仿宋_GB2312" w:eastAsia="仿宋_GB2312"/>
                <w:sz w:val="21"/>
                <w:b/>
                <w:color w:val="000000"/>
              </w:rPr>
              <w:t>实施数量：1项【渭南市十一个县、市、区，213个卫生院(社区卫生服务中心)、2058个村卫生室(社区卫生服务站)的“三秦智医 ”项目实施工作】</w:t>
            </w:r>
          </w:p>
          <w:p>
            <w:pPr>
              <w:pStyle w:val="null3"/>
              <w:spacing w:before="150"/>
              <w:ind w:left="480"/>
            </w:pPr>
            <w:r>
              <w:rPr>
                <w:rFonts w:ascii="仿宋_GB2312" w:hAnsi="仿宋_GB2312" w:cs="仿宋_GB2312" w:eastAsia="仿宋_GB2312"/>
                <w:sz w:val="24"/>
                <w:b/>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机构网络改造</w:t>
            </w:r>
          </w:p>
          <w:p>
            <w:pPr>
              <w:pStyle w:val="null3"/>
              <w:spacing w:before="150"/>
              <w:ind w:right="150" w:firstLine="483"/>
              <w:jc w:val="both"/>
            </w:pPr>
            <w:r>
              <w:rPr>
                <w:rFonts w:ascii="仿宋_GB2312" w:hAnsi="仿宋_GB2312" w:cs="仿宋_GB2312" w:eastAsia="仿宋_GB2312"/>
                <w:sz w:val="24"/>
                <w:color w:val="000000"/>
              </w:rPr>
              <w:t>综合布线：“本项目”中标方按照所实施项目点位的业务需</w:t>
            </w:r>
            <w:r>
              <w:rPr>
                <w:rFonts w:ascii="仿宋_GB2312" w:hAnsi="仿宋_GB2312" w:cs="仿宋_GB2312" w:eastAsia="仿宋_GB2312"/>
                <w:sz w:val="24"/>
                <w:color w:val="000000"/>
              </w:rPr>
              <w:t>求，配合项目地网络接</w:t>
            </w:r>
            <w:r>
              <w:rPr>
                <w:rFonts w:ascii="仿宋_GB2312" w:hAnsi="仿宋_GB2312" w:cs="仿宋_GB2312" w:eastAsia="仿宋_GB2312"/>
                <w:sz w:val="24"/>
                <w:color w:val="000000"/>
              </w:rPr>
              <w:t>入商布设满足业务应用、设备接入的强弱电线路，要符合综合布线工程规范，保障视频、</w:t>
            </w:r>
            <w:r>
              <w:rPr>
                <w:rFonts w:ascii="仿宋_GB2312" w:hAnsi="仿宋_GB2312" w:cs="仿宋_GB2312" w:eastAsia="仿宋_GB2312"/>
                <w:sz w:val="24"/>
                <w:color w:val="000000"/>
              </w:rPr>
              <w:t>影像等大流量点位不延时。</w:t>
            </w:r>
          </w:p>
          <w:p>
            <w:pPr>
              <w:pStyle w:val="null3"/>
              <w:spacing w:before="150"/>
              <w:ind w:right="150" w:firstLine="483"/>
              <w:jc w:val="both"/>
            </w:pPr>
            <w:r>
              <w:rPr>
                <w:rFonts w:ascii="仿宋_GB2312" w:hAnsi="仿宋_GB2312" w:cs="仿宋_GB2312" w:eastAsia="仿宋_GB2312"/>
                <w:sz w:val="24"/>
                <w:color w:val="000000"/>
              </w:rPr>
              <w:t>网络管理：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本项目”中标方配合完善实施项目点位的网络管理，以符合电子政务外网要求重新配置</w:t>
            </w:r>
            <w:r>
              <w:rPr>
                <w:rFonts w:ascii="仿宋_GB2312" w:hAnsi="仿宋_GB2312" w:cs="仿宋_GB2312" w:eastAsia="仿宋_GB2312"/>
                <w:sz w:val="24"/>
                <w:color w:val="000000"/>
              </w:rPr>
              <w:t>网络，规范管理内外网互通，确保网络高可用性，防止非法设备接入。</w:t>
            </w:r>
          </w:p>
          <w:p>
            <w:pPr>
              <w:pStyle w:val="null3"/>
              <w:spacing w:before="30"/>
              <w:ind w:left="480"/>
            </w:pPr>
            <w:r>
              <w:rPr>
                <w:rFonts w:ascii="仿宋_GB2312" w:hAnsi="仿宋_GB2312" w:cs="仿宋_GB2312" w:eastAsia="仿宋_GB2312"/>
                <w:sz w:val="24"/>
                <w:b/>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设备联机与对接</w:t>
            </w:r>
          </w:p>
          <w:p>
            <w:pPr>
              <w:pStyle w:val="null3"/>
              <w:spacing w:before="150"/>
              <w:ind w:firstLine="464"/>
            </w:pPr>
            <w:r>
              <w:rPr>
                <w:rFonts w:ascii="仿宋_GB2312" w:hAnsi="仿宋_GB2312" w:cs="仿宋_GB2312" w:eastAsia="仿宋_GB2312"/>
                <w:sz w:val="24"/>
                <w:color w:val="000000"/>
              </w:rPr>
              <w:t>“</w:t>
            </w:r>
            <w:r>
              <w:rPr>
                <w:rFonts w:ascii="仿宋_GB2312" w:hAnsi="仿宋_GB2312" w:cs="仿宋_GB2312" w:eastAsia="仿宋_GB2312"/>
                <w:sz w:val="24"/>
                <w:color w:val="000000"/>
              </w:rPr>
              <w:t>三秦智医”项目基层一体化包括建设LIS、PACS、心电、体检等系统，“本项目”</w:t>
            </w:r>
            <w:r>
              <w:rPr>
                <w:rFonts w:ascii="仿宋_GB2312" w:hAnsi="仿宋_GB2312" w:cs="仿宋_GB2312" w:eastAsia="仿宋_GB2312"/>
                <w:sz w:val="24"/>
                <w:color w:val="000000"/>
              </w:rPr>
              <w:t>中标方需要按“三秦智医”项目设计要求完</w:t>
            </w:r>
            <w:r>
              <w:rPr>
                <w:rFonts w:ascii="仿宋_GB2312" w:hAnsi="仿宋_GB2312" w:cs="仿宋_GB2312" w:eastAsia="仿宋_GB2312"/>
                <w:sz w:val="24"/>
                <w:color w:val="000000"/>
              </w:rPr>
              <w:t>成基层机构各类设备的联机工作。联机方式</w:t>
            </w:r>
            <w:r>
              <w:rPr>
                <w:rFonts w:ascii="仿宋_GB2312" w:hAnsi="仿宋_GB2312" w:cs="仿宋_GB2312" w:eastAsia="仿宋_GB2312"/>
                <w:sz w:val="24"/>
                <w:color w:val="000000"/>
              </w:rPr>
              <w:t>不限于TCP/IP、R235/485串行通信、USB等方式；连接设备包含但不限于检验设备、影像设备、心电设备、体检设备、健康小屋</w:t>
            </w:r>
            <w:r>
              <w:rPr>
                <w:rFonts w:ascii="仿宋_GB2312" w:hAnsi="仿宋_GB2312" w:cs="仿宋_GB2312" w:eastAsia="仿宋_GB2312"/>
                <w:sz w:val="24"/>
                <w:color w:val="000000"/>
              </w:rPr>
              <w:t>、社保卡(身份证)读卡器设备、移动支付扫码设备、医保电子凭证/电子健康码扫码等</w:t>
            </w:r>
            <w:r>
              <w:rPr>
                <w:rFonts w:ascii="仿宋_GB2312" w:hAnsi="仿宋_GB2312" w:cs="仿宋_GB2312" w:eastAsia="仿宋_GB2312"/>
                <w:sz w:val="24"/>
                <w:color w:val="000000"/>
              </w:rPr>
              <w:t>设备；联机准备包括不限于安装端口扩展卡、</w:t>
            </w:r>
            <w:r>
              <w:rPr>
                <w:rFonts w:ascii="仿宋_GB2312" w:hAnsi="仿宋_GB2312" w:cs="仿宋_GB2312" w:eastAsia="仿宋_GB2312"/>
                <w:sz w:val="24"/>
                <w:color w:val="000000"/>
              </w:rPr>
              <w:t>视频采集卡、心电采集卡等。</w:t>
            </w:r>
            <w:r>
              <w:rPr>
                <w:rFonts w:ascii="仿宋_GB2312" w:hAnsi="仿宋_GB2312" w:cs="仿宋_GB2312" w:eastAsia="仿宋_GB2312"/>
                <w:sz w:val="24"/>
                <w:b/>
                <w:color w:val="000000"/>
              </w:rPr>
              <w:t>（具体需要连接的设备以所</w:t>
            </w:r>
            <w:r>
              <w:rPr>
                <w:rFonts w:ascii="仿宋_GB2312" w:hAnsi="仿宋_GB2312" w:cs="仿宋_GB2312" w:eastAsia="仿宋_GB2312"/>
                <w:sz w:val="24"/>
                <w:b/>
                <w:color w:val="000000"/>
              </w:rPr>
              <w:t>实施机构现有设备为准）。</w:t>
            </w:r>
          </w:p>
          <w:p>
            <w:pPr>
              <w:pStyle w:val="null3"/>
              <w:spacing w:before="30"/>
              <w:ind w:left="480"/>
            </w:pPr>
            <w:r>
              <w:rPr>
                <w:rFonts w:ascii="仿宋_GB2312" w:hAnsi="仿宋_GB2312" w:cs="仿宋_GB2312" w:eastAsia="仿宋_GB2312"/>
                <w:sz w:val="24"/>
                <w:b/>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应用系统培训</w:t>
            </w:r>
          </w:p>
          <w:p>
            <w:pPr>
              <w:pStyle w:val="null3"/>
              <w:spacing w:before="150"/>
              <w:ind w:firstLine="464"/>
            </w:pP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中标方在接受省级集中实施培训后，对项目实施区域分别开展培训工作，针对全市范围的系统管理人员、业务管理人员及各县(市区)基层医疗机构医护人员进行技术培训，培训内容主要包括：应用软件操作培训、系统安装部署培训、系统运维培训，并提供完整的技术培训文档。</w:t>
            </w:r>
          </w:p>
          <w:p>
            <w:pPr>
              <w:pStyle w:val="null3"/>
              <w:spacing w:before="150"/>
              <w:ind w:firstLine="464"/>
            </w:pP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中标方需要针对各医疗机构业务人员、系统管理人员、综合监管人员、中心平台维护人员进行分类分角色培训。通过培训使各类用户能独立进行系统设置、各角色业务操作、数据查询、综合指标监管、使用故障处理、日常数据维护等。</w:t>
            </w:r>
          </w:p>
          <w:p>
            <w:pPr>
              <w:pStyle w:val="null3"/>
              <w:spacing w:before="150"/>
              <w:ind w:firstLine="464"/>
            </w:pPr>
            <w:r>
              <w:rPr>
                <w:rFonts w:ascii="仿宋_GB2312" w:hAnsi="仿宋_GB2312" w:cs="仿宋_GB2312" w:eastAsia="仿宋_GB2312"/>
                <w:sz w:val="24"/>
                <w:color w:val="000000"/>
              </w:rPr>
              <w:t>培训方式包含但不限于QQ群、微信、视频会议、电话、电子邮件、传真等方式，对每个卫生院操作人员至少进行1次现场培训。</w:t>
            </w:r>
          </w:p>
          <w:p>
            <w:pPr>
              <w:pStyle w:val="null3"/>
              <w:spacing w:before="30"/>
              <w:ind w:left="480"/>
            </w:pPr>
            <w:r>
              <w:rPr>
                <w:rFonts w:ascii="仿宋_GB2312" w:hAnsi="仿宋_GB2312" w:cs="仿宋_GB2312" w:eastAsia="仿宋_GB2312"/>
                <w:sz w:val="24"/>
                <w:b/>
                <w:color w:val="000000"/>
              </w:rPr>
              <w:t xml:space="preserve">4 </w:t>
            </w:r>
            <w:r>
              <w:rPr>
                <w:rFonts w:ascii="仿宋_GB2312" w:hAnsi="仿宋_GB2312" w:cs="仿宋_GB2312" w:eastAsia="仿宋_GB2312"/>
                <w:sz w:val="24"/>
                <w:b/>
                <w:color w:val="000000"/>
              </w:rPr>
              <w:t>用户初始化</w:t>
            </w:r>
          </w:p>
          <w:p>
            <w:pPr>
              <w:pStyle w:val="null3"/>
              <w:spacing w:before="75"/>
              <w:ind w:right="75" w:firstLine="480"/>
            </w:pPr>
            <w:r>
              <w:rPr>
                <w:rFonts w:ascii="仿宋_GB2312" w:hAnsi="仿宋_GB2312" w:cs="仿宋_GB2312" w:eastAsia="仿宋_GB2312"/>
                <w:sz w:val="24"/>
                <w:color w:val="000000"/>
              </w:rPr>
              <w:t>按省级“三秦智医”项目软件功能要求，“</w:t>
            </w:r>
            <w:r>
              <w:rPr>
                <w:rFonts w:ascii="仿宋_GB2312" w:hAnsi="仿宋_GB2312" w:cs="仿宋_GB2312" w:eastAsia="仿宋_GB2312"/>
                <w:sz w:val="24"/>
                <w:color w:val="000000"/>
              </w:rPr>
              <w:t>本项目”中标方配合实施点位机构，完</w:t>
            </w:r>
            <w:r>
              <w:rPr>
                <w:rFonts w:ascii="仿宋_GB2312" w:hAnsi="仿宋_GB2312" w:cs="仿宋_GB2312" w:eastAsia="仿宋_GB2312"/>
                <w:sz w:val="24"/>
                <w:color w:val="000000"/>
              </w:rPr>
              <w:t>成各系统初始化数据及关联对码工作，数据初始化内容不</w:t>
            </w:r>
            <w:r>
              <w:rPr>
                <w:rFonts w:ascii="仿宋_GB2312" w:hAnsi="仿宋_GB2312" w:cs="仿宋_GB2312" w:eastAsia="仿宋_GB2312"/>
                <w:sz w:val="24"/>
                <w:color w:val="000000"/>
              </w:rPr>
              <w:t>限于：科室信息、人员信息、物资库存、会计科目、药品对码等，并协助设置本机构计划任务。</w:t>
            </w:r>
          </w:p>
          <w:p>
            <w:pPr>
              <w:pStyle w:val="null3"/>
              <w:spacing w:before="30"/>
              <w:ind w:left="480"/>
            </w:pPr>
            <w:r>
              <w:rPr>
                <w:rFonts w:ascii="仿宋_GB2312" w:hAnsi="仿宋_GB2312" w:cs="仿宋_GB2312" w:eastAsia="仿宋_GB2312"/>
                <w:sz w:val="24"/>
                <w:b/>
                <w:color w:val="000000"/>
              </w:rPr>
              <w:t xml:space="preserve">5 </w:t>
            </w:r>
            <w:r>
              <w:rPr>
                <w:rFonts w:ascii="仿宋_GB2312" w:hAnsi="仿宋_GB2312" w:cs="仿宋_GB2312" w:eastAsia="仿宋_GB2312"/>
                <w:sz w:val="24"/>
                <w:b/>
                <w:color w:val="000000"/>
              </w:rPr>
              <w:t>试运行及需求反馈</w:t>
            </w:r>
          </w:p>
          <w:p>
            <w:pPr>
              <w:pStyle w:val="null3"/>
              <w:spacing w:before="150"/>
              <w:ind w:right="15" w:firstLine="467"/>
            </w:pPr>
            <w:r>
              <w:rPr>
                <w:rFonts w:ascii="仿宋_GB2312" w:hAnsi="仿宋_GB2312" w:cs="仿宋_GB2312" w:eastAsia="仿宋_GB2312"/>
                <w:sz w:val="24"/>
                <w:color w:val="000000"/>
              </w:rPr>
              <w:t>“本项目”中标方需要集中管理搜集到的各区县一线用户需求、系统运行期间的需求：经统一整理、分析、研判后，分别提交省级“三秦智医”包1[基层卫生一体化应用子系统(含基层卫生综合监管子系统)]、包2（基层人工智能辅助智慧医疗子系统）中标人响应，并对省级“三秦智医”包1、包2中标人完成响应的需求向用户培训交接，对省级“三秦智医”包1、包2中标人拒绝处理的需求向用户说明原因。此项任务不限于如下工作：</w:t>
            </w:r>
          </w:p>
          <w:p>
            <w:pPr>
              <w:pStyle w:val="null3"/>
              <w:spacing w:before="45"/>
              <w:ind w:left="15" w:right="150" w:firstLine="474"/>
            </w:pPr>
            <w:r>
              <w:rPr>
                <w:rFonts w:ascii="仿宋_GB2312" w:hAnsi="仿宋_GB2312" w:cs="仿宋_GB2312" w:eastAsia="仿宋_GB2312"/>
                <w:sz w:val="24"/>
                <w:color w:val="000000"/>
              </w:rPr>
              <w:t>在线需求采集：建立多渠道需求采集机制，包括但不限于web表单及在线沟通群，以结构化模板、手机视频、系统截图或非结构化文本等内容，采集用户提交的功能优化和流程改进需求。</w:t>
            </w:r>
          </w:p>
          <w:p>
            <w:pPr>
              <w:pStyle w:val="null3"/>
              <w:spacing w:before="45"/>
              <w:ind w:left="15" w:right="150" w:firstLine="474"/>
            </w:pPr>
            <w:r>
              <w:rPr>
                <w:rFonts w:ascii="仿宋_GB2312" w:hAnsi="仿宋_GB2312" w:cs="仿宋_GB2312" w:eastAsia="仿宋_GB2312"/>
                <w:sz w:val="24"/>
                <w:color w:val="000000"/>
              </w:rPr>
              <w:t>需求管理跟踪：与省级“三秦智</w:t>
            </w:r>
            <w:r>
              <w:rPr>
                <w:rFonts w:ascii="仿宋_GB2312" w:hAnsi="仿宋_GB2312" w:cs="仿宋_GB2312" w:eastAsia="仿宋_GB2312"/>
                <w:sz w:val="24"/>
                <w:color w:val="000000"/>
              </w:rPr>
              <w:t>医”包1</w:t>
            </w:r>
            <w:r>
              <w:rPr>
                <w:rFonts w:ascii="仿宋_GB2312" w:hAnsi="仿宋_GB2312" w:cs="仿宋_GB2312" w:eastAsia="仿宋_GB2312"/>
                <w:sz w:val="24"/>
                <w:color w:val="000000"/>
              </w:rPr>
              <w:t>[基层卫生一体化应用子系统(含基层卫生综合监管子系统)]</w:t>
            </w:r>
            <w:r>
              <w:rPr>
                <w:rFonts w:ascii="仿宋_GB2312" w:hAnsi="仿宋_GB2312" w:cs="仿宋_GB2312" w:eastAsia="仿宋_GB2312"/>
                <w:sz w:val="24"/>
                <w:color w:val="000000"/>
              </w:rPr>
              <w:t>、包2</w:t>
            </w:r>
            <w:r>
              <w:rPr>
                <w:rFonts w:ascii="仿宋_GB2312" w:hAnsi="仿宋_GB2312" w:cs="仿宋_GB2312" w:eastAsia="仿宋_GB2312"/>
                <w:sz w:val="24"/>
                <w:color w:val="000000"/>
              </w:rPr>
              <w:t>（基层人工智能辅助智慧医疗子系统）</w:t>
            </w:r>
            <w:r>
              <w:rPr>
                <w:rFonts w:ascii="仿宋_GB2312" w:hAnsi="仿宋_GB2312" w:cs="仿宋_GB2312" w:eastAsia="仿宋_GB2312"/>
                <w:sz w:val="24"/>
                <w:color w:val="000000"/>
              </w:rPr>
              <w:t>中标人协同，</w:t>
            </w:r>
            <w:r>
              <w:rPr>
                <w:rFonts w:ascii="仿宋_GB2312" w:hAnsi="仿宋_GB2312" w:cs="仿宋_GB2312" w:eastAsia="仿宋_GB2312"/>
                <w:sz w:val="24"/>
                <w:color w:val="000000"/>
              </w:rPr>
              <w:t>对所有采集</w:t>
            </w:r>
            <w:r>
              <w:rPr>
                <w:rFonts w:ascii="仿宋_GB2312" w:hAnsi="仿宋_GB2312" w:cs="仿宋_GB2312" w:eastAsia="仿宋_GB2312"/>
                <w:sz w:val="24"/>
                <w:color w:val="000000"/>
              </w:rPr>
              <w:t>的需求进行录入、跟踪、管理。</w:t>
            </w:r>
          </w:p>
          <w:p>
            <w:pPr>
              <w:pStyle w:val="null3"/>
              <w:spacing w:before="30"/>
              <w:ind w:right="150" w:firstLine="477"/>
            </w:pPr>
            <w:r>
              <w:rPr>
                <w:rFonts w:ascii="仿宋_GB2312" w:hAnsi="仿宋_GB2312" w:cs="仿宋_GB2312" w:eastAsia="仿宋_GB2312"/>
                <w:sz w:val="24"/>
                <w:color w:val="000000"/>
              </w:rPr>
              <w:t>反馈优化结果：对已实施的需求，通过短信、邮件等方</w:t>
            </w:r>
            <w:r>
              <w:rPr>
                <w:rFonts w:ascii="仿宋_GB2312" w:hAnsi="仿宋_GB2312" w:cs="仿宋_GB2312" w:eastAsia="仿宋_GB2312"/>
                <w:sz w:val="24"/>
                <w:color w:val="000000"/>
              </w:rPr>
              <w:t>式通知用户，反馈内容不限</w:t>
            </w:r>
            <w:r>
              <w:rPr>
                <w:rFonts w:ascii="仿宋_GB2312" w:hAnsi="仿宋_GB2312" w:cs="仿宋_GB2312" w:eastAsia="仿宋_GB2312"/>
                <w:sz w:val="24"/>
                <w:color w:val="000000"/>
              </w:rPr>
              <w:t>于优化内容、实施效果及用户收益。对不采纳的</w:t>
            </w:r>
            <w:r>
              <w:rPr>
                <w:rFonts w:ascii="仿宋_GB2312" w:hAnsi="仿宋_GB2312" w:cs="仿宋_GB2312" w:eastAsia="仿宋_GB2312"/>
                <w:sz w:val="24"/>
                <w:color w:val="000000"/>
              </w:rPr>
              <w:t>需求，反馈原因并关闭需求工单。</w:t>
            </w:r>
          </w:p>
          <w:p>
            <w:pPr>
              <w:pStyle w:val="null3"/>
              <w:spacing w:before="30"/>
              <w:ind w:right="75" w:firstLine="479"/>
            </w:pPr>
            <w:r>
              <w:rPr>
                <w:rFonts w:ascii="仿宋_GB2312" w:hAnsi="仿宋_GB2312" w:cs="仿宋_GB2312" w:eastAsia="仿宋_GB2312"/>
                <w:sz w:val="24"/>
                <w:color w:val="000000"/>
              </w:rPr>
              <w:t>新旧数据迁移校验：在省级“三秦智医”包3</w:t>
            </w:r>
            <w:r>
              <w:rPr>
                <w:rFonts w:ascii="仿宋_GB2312" w:hAnsi="仿宋_GB2312" w:cs="仿宋_GB2312" w:eastAsia="仿宋_GB2312"/>
                <w:sz w:val="21"/>
                <w:color w:val="000000"/>
              </w:rPr>
              <w:t>（数据资源建设、数据迁移）</w:t>
            </w:r>
            <w:r>
              <w:rPr>
                <w:rFonts w:ascii="仿宋_GB2312" w:hAnsi="仿宋_GB2312" w:cs="仿宋_GB2312" w:eastAsia="仿宋_GB2312"/>
                <w:sz w:val="24"/>
                <w:color w:val="000000"/>
              </w:rPr>
              <w:t>完成数据迁移的基础上，协助对迁移后的数据进行校验，并导入到新系统，保证新旧系统数据基本一致，公卫、财务、医保等连续性业务不受影响。</w:t>
            </w:r>
          </w:p>
          <w:p>
            <w:pPr>
              <w:pStyle w:val="null3"/>
              <w:spacing w:before="30"/>
              <w:ind w:left="480"/>
            </w:pPr>
            <w:r>
              <w:rPr>
                <w:rFonts w:ascii="仿宋_GB2312" w:hAnsi="仿宋_GB2312" w:cs="仿宋_GB2312" w:eastAsia="仿宋_GB2312"/>
                <w:sz w:val="24"/>
                <w:b/>
                <w:color w:val="000000"/>
              </w:rPr>
              <w:t xml:space="preserve">6 </w:t>
            </w:r>
            <w:r>
              <w:rPr>
                <w:rFonts w:ascii="仿宋_GB2312" w:hAnsi="仿宋_GB2312" w:cs="仿宋_GB2312" w:eastAsia="仿宋_GB2312"/>
                <w:sz w:val="24"/>
                <w:b/>
                <w:color w:val="000000"/>
              </w:rPr>
              <w:t>上线问题处置</w:t>
            </w:r>
          </w:p>
          <w:p>
            <w:pPr>
              <w:pStyle w:val="null3"/>
              <w:spacing w:before="30"/>
              <w:ind w:right="75" w:firstLine="479"/>
            </w:pPr>
            <w:r>
              <w:rPr>
                <w:rFonts w:ascii="仿宋_GB2312" w:hAnsi="仿宋_GB2312" w:cs="仿宋_GB2312" w:eastAsia="仿宋_GB2312"/>
                <w:sz w:val="24"/>
                <w:color w:val="000000"/>
              </w:rPr>
              <w:t>现场驻点支持：在门诊、住院部等关键区域安排技术支持人员，实时解决操作问题。</w:t>
            </w:r>
          </w:p>
          <w:p>
            <w:pPr>
              <w:pStyle w:val="null3"/>
              <w:spacing w:before="30"/>
              <w:ind w:right="75" w:firstLine="479"/>
            </w:pPr>
            <w:r>
              <w:rPr>
                <w:rFonts w:ascii="仿宋_GB2312" w:hAnsi="仿宋_GB2312" w:cs="仿宋_GB2312" w:eastAsia="仿宋_GB2312"/>
                <w:sz w:val="24"/>
                <w:color w:val="000000"/>
              </w:rPr>
              <w:t>多渠道响应：包括专线电话，通过远程工具快速接管用户屏幕，即时通讯群组技术支持途径，安排专业人员实时答疑。</w:t>
            </w:r>
          </w:p>
          <w:p>
            <w:pPr>
              <w:pStyle w:val="null3"/>
              <w:ind w:firstLine="640"/>
              <w:jc w:val="both"/>
            </w:pPr>
            <w:r>
              <w:rPr>
                <w:rFonts w:ascii="仿宋_GB2312" w:hAnsi="仿宋_GB2312" w:cs="仿宋_GB2312" w:eastAsia="仿宋_GB2312"/>
                <w:sz w:val="24"/>
                <w:color w:val="000000"/>
              </w:rPr>
              <w:t>操作手册与资源包：制作简明扼要的《用户操作指南》(图文+视频)，提供“常见问题Q&amp;A”文档，便于快速查阅。复杂操作制作分步操作视频，嵌入系统帮助中心。</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color w:val="000000"/>
              </w:rPr>
              <w:t>县级机构数据接入</w:t>
            </w:r>
          </w:p>
          <w:p>
            <w:pPr>
              <w:pStyle w:val="null3"/>
              <w:spacing w:before="30"/>
              <w:ind w:left="480"/>
            </w:pPr>
            <w:r>
              <w:rPr>
                <w:rFonts w:ascii="仿宋_GB2312" w:hAnsi="仿宋_GB2312" w:cs="仿宋_GB2312" w:eastAsia="仿宋_GB2312"/>
                <w:sz w:val="21"/>
                <w:b/>
                <w:color w:val="000000"/>
              </w:rPr>
              <w:t>实施数量：1项（十一个县、市、区）</w:t>
            </w:r>
          </w:p>
          <w:p>
            <w:pPr>
              <w:pStyle w:val="null3"/>
              <w:spacing w:before="150"/>
              <w:ind w:right="75" w:firstLine="467"/>
            </w:pP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本项目”中标方需要按照“三秦智医”项目建设方案要求，配合推进</w:t>
            </w:r>
            <w:r>
              <w:rPr>
                <w:rFonts w:ascii="仿宋_GB2312" w:hAnsi="仿宋_GB2312" w:cs="仿宋_GB2312" w:eastAsia="仿宋_GB2312"/>
                <w:sz w:val="24"/>
                <w:color w:val="000000"/>
              </w:rPr>
              <w:t>各实施</w:t>
            </w:r>
            <w:r>
              <w:rPr>
                <w:rFonts w:ascii="仿宋_GB2312" w:hAnsi="仿宋_GB2312" w:cs="仿宋_GB2312" w:eastAsia="仿宋_GB2312"/>
                <w:sz w:val="24"/>
                <w:color w:val="000000"/>
              </w:rPr>
              <w:t>县（市区）所辖县级公立医疗机构按照省级下发的对接标</w:t>
            </w:r>
            <w:r>
              <w:rPr>
                <w:rFonts w:ascii="仿宋_GB2312" w:hAnsi="仿宋_GB2312" w:cs="仿宋_GB2312" w:eastAsia="仿宋_GB2312"/>
                <w:sz w:val="24"/>
                <w:color w:val="000000"/>
              </w:rPr>
              <w:t>准接入基层卫生综</w:t>
            </w:r>
            <w:r>
              <w:rPr>
                <w:rFonts w:ascii="仿宋_GB2312" w:hAnsi="仿宋_GB2312" w:cs="仿宋_GB2312" w:eastAsia="仿宋_GB2312"/>
                <w:sz w:val="24"/>
                <w:color w:val="000000"/>
              </w:rPr>
              <w:t>合监管系</w:t>
            </w:r>
            <w:r>
              <w:rPr>
                <w:rFonts w:ascii="仿宋_GB2312" w:hAnsi="仿宋_GB2312" w:cs="仿宋_GB2312" w:eastAsia="仿宋_GB2312"/>
                <w:sz w:val="24"/>
                <w:color w:val="000000"/>
              </w:rPr>
              <w:t>统。</w:t>
            </w:r>
          </w:p>
          <w:p>
            <w:pPr>
              <w:pStyle w:val="null3"/>
              <w:spacing w:before="30"/>
              <w:ind w:right="75" w:firstLine="483"/>
            </w:pPr>
            <w:r>
              <w:rPr>
                <w:rFonts w:ascii="仿宋_GB2312" w:hAnsi="仿宋_GB2312" w:cs="仿宋_GB2312" w:eastAsia="仿宋_GB2312"/>
                <w:sz w:val="24"/>
                <w:b/>
                <w:color w:val="000000"/>
              </w:rPr>
              <w:t>按照对接方案和采集标准，配合需接入的县级医疗机构完成网络</w:t>
            </w:r>
            <w:r>
              <w:rPr>
                <w:rFonts w:ascii="仿宋_GB2312" w:hAnsi="仿宋_GB2312" w:cs="仿宋_GB2312" w:eastAsia="仿宋_GB2312"/>
                <w:sz w:val="24"/>
                <w:b/>
                <w:color w:val="000000"/>
              </w:rPr>
              <w:t>配置、数据采集配</w:t>
            </w:r>
            <w:r>
              <w:rPr>
                <w:rFonts w:ascii="仿宋_GB2312" w:hAnsi="仿宋_GB2312" w:cs="仿宋_GB2312" w:eastAsia="仿宋_GB2312"/>
                <w:sz w:val="24"/>
                <w:b/>
                <w:color w:val="000000"/>
              </w:rPr>
              <w:t>置、配置上报业务和上报路径，数据上报联调、历史数据上报及增量上报等。</w:t>
            </w:r>
          </w:p>
          <w:p>
            <w:pPr>
              <w:pStyle w:val="null3"/>
              <w:ind w:firstLine="640"/>
              <w:jc w:val="both"/>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b/>
                <w:color w:val="000000"/>
              </w:rPr>
              <w:t>区域协同系统对接</w:t>
            </w:r>
          </w:p>
          <w:p>
            <w:pPr>
              <w:pStyle w:val="null3"/>
              <w:ind w:firstLine="458"/>
            </w:pPr>
            <w:r>
              <w:rPr>
                <w:rFonts w:ascii="仿宋_GB2312" w:hAnsi="仿宋_GB2312" w:cs="仿宋_GB2312" w:eastAsia="仿宋_GB2312"/>
                <w:sz w:val="21"/>
                <w:b/>
                <w:color w:val="000000"/>
              </w:rPr>
              <w:t xml:space="preserve">        实施数量：1项（十一个县、市、区）</w:t>
            </w:r>
          </w:p>
          <w:p>
            <w:pPr>
              <w:pStyle w:val="null3"/>
              <w:ind w:firstLine="468"/>
            </w:pPr>
            <w:r>
              <w:rPr>
                <w:rFonts w:ascii="仿宋_GB2312" w:hAnsi="仿宋_GB2312" w:cs="仿宋_GB2312" w:eastAsia="仿宋_GB2312"/>
                <w:sz w:val="24"/>
                <w:color w:val="000000"/>
              </w:rPr>
              <w:t>按照省级“三秦智医”统一外联平台对接要求，完成与采购人商定的外联对接系统或</w:t>
            </w:r>
            <w:r>
              <w:rPr>
                <w:rFonts w:ascii="仿宋_GB2312" w:hAnsi="仿宋_GB2312" w:cs="仿宋_GB2312" w:eastAsia="仿宋_GB2312"/>
                <w:sz w:val="24"/>
                <w:color w:val="000000"/>
              </w:rPr>
              <w:t>平台的对接工作，包括但不限于渭南市域内运行的市级、县级远程医疗平台、互联网服务平台、电子健康卡平台、家庭医生签约服务平台、县域医共体平台、妇幼保健信息平台、陕西省全员人口系统、婚育健康平台、健康素养调查平台、健康渭南服务门户、区域检查检验结果互认系统、区域麻精药品监管系统、健康科普资源库或应用。与国家或省级重大项目平台接口，3年质保期内免费对接。</w:t>
            </w:r>
          </w:p>
          <w:p>
            <w:pPr>
              <w:pStyle w:val="null3"/>
              <w:ind w:firstLine="64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应合理配置团队，团队成员人数不少于50人。并按采购人要求计划时间，依次、依序、巡回推进调研、网络改造、数据初始化、设备联机、用户培训、上线前验证、需求反馈、系统上线保障、上线问题处置工作，保障进度要求。 2、团队能力要求 项目负责人需具备同类、同规模项目管理经验。 3、团队岗位及角色要求 项目实施团队角色需覆盖技术、医疗、管理和服务多维度，包括但不限于如下核心岗位及其职责分工： 3.1．项目负责人：统筹项目全生命周期，制定计划、分配资源、管控风险，协调医院方与厂商团队： 协调相关科室及供应商召开需求确认会。 3.2．实施顾问：负责系统配置、流程优化与需求落地。如业务类梳理医院现有流程，设计系统适配方案；技术类处理接口开发（如HIS与医保系统对接）、报表定制等。 3.3．技术支持工程师：解决部署中的技术问题，包括服务器搭建、网络调试、数据库优化。 3.4．培训专员：分科室培训医护人员（如医生工作站、护士护理屏操作），制作培训材料。 3.5．数据工程师：处理历史数据（如系统外数据采集、平台数据推送等）及新系统数据初始化的脚本编写、任务调度等。 3.6．质量（QA）工程师：制定测试用例，执行功能／性能／安全测试，出具测试报告。 3.7．安全工程师：负责安全测试、安全配置、安全监测；配合开展数据备份与恢复；配合开展日常安全自查、补丁修复等工作；出具安全服务报告。配合开展三级等保测评问题整改。 3.8．客户经理：上线后跟踪系统使用情况，收集反馈，推动持续优化（如个性化流程变更）。提升用户满意度 3.9．变更管理顾问：通过沟通、培训、激励措施减少医护人员对系统变更的抵触。</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配合开展系统等级保护测评服务: 投标人配合政务云开展网络及服务器层面的安全配置、安全监测、补丁修复；基于政务云提供的入侵防御系统、日志审计、数据库审计、防病毒、堡垒机、WAF防火墙等应用，开展本项目的安全保障工作。根据系统的使用要求，配合政务云监测服务器 CPU、内存、硬盘、数据库的使用情况，配合政务云进行服务器的增配、调优。定期出具安全服务报告。 投标人提供本项目采购范围内的国产数据库、中间件、操作系统的安全保障、日常服务、数据备份与恢复及调优工作。 配合采购人建立安全管理制度，包括保密制度、安全运维制度、系统账号安全制度，通过制度建立，强化安全责任意识，规范安全合规操作，做好数据备份，建立数据恢复机制。建立事件响应制度，对不同时间建立响应及处置机制。 投标人配合采购人开展系统三级等保测评工作。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合同签署30日内完成市级平台系统部署， 6个月内全部完成项目的所有实施内容。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1、上线后根据省、市卫生健康委统一安排按进度开展项目验收工作。 2、采用“阶段性验收+稳定运行(初验)+终验”三阶段机制，阶段性验收为市级平台系统部署完成；稳定运行(初验)为系统切换上线并稳定运行30天；终验为稳定运行期问题清零，并完成与甲方商定的相关外联接口对接。 3、验收指标 3.1机构网络改造：新增点位符合综合布线工程规范，符合国家电子政务外网接入要求，内外网通过安全策略实现互通。 3.2用户数据初始化：初始化数据完全满足系统运行及会计核算，准确率100%。 3.3设备联机与对接：支持联机并提供技术支持的设备，联机率100%. 3.4应用系统培训：全部用户参培率100%。 3.5系统管理用户考核通过率100%。 3.6迁移数据验证：根据机构需求及新系统数据规范，完成软件上线前历史数据（由省级"三秦智医"包 3 提供）的验证，数据验证覆盖率100% 3.7试运行及需求反馈：进行需求闭环管理，一线需求采集率100%，需求管理跟踪100%，反馈优化结果100%，每个闭环时间，紧急问题≤4小时，一般问题不超过1天，复杂问题不超过1周。 3.8新旧系统割接：新旧系统切换过程平稳、高效、安全，切换前后实物库存衔接准确，会计科目期末期初一致，月度财务数据实现合并统计，月度记账平衡。 3.9 文档验收 3.9.1文档包括过程管控、技术文档、用户手册等，"本项目"中标方基于省级"三秦智医"项目各包中标人提供的通用版文件，根据本项目交付实际进行调整及补充。文档要求版本与系统版本一致。 3.9.2 过程文档交付： 包括不限于《系统架构设计文档》、《业务流程设计报告》、《系统部署文档》、《测试计划》、《测试报告》、《软件运行报告》、《用户操作手册》、《培训材料》、《项目验收报告》、《运维交接清单》、《系统优化记录表》等。 3.9.3 用户文档交付：不限于《用户操作手册》、《系统运维手册》、《故障处理指南》、《接口文档》等。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合同签署后15个工作日</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市级平台系统部署完成合格后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因本合同而引起的或与本合同有关的任何争议，双方应当友好协商解决。如协商未能达成一致时，向渭南仲裁委员会提起仲裁解决。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质保期及质保期内、外现场服务要求 1、质保期：项目最终验收合格之日起3年。 2、 现场服务：保证每个卫生院（社区服务中心）在系统正式上线运行期间，不少于1人到达现场进行实施及上线支撑。全体项目团队需全面参加省级"三秦智医"包1【基层卫生一体化应用子系统，（含基层卫生综合监管子系统)】、包2（基层人工智能辅助智慧医疗子系统）中标人的培训并满足考核要求。项目安排专人全面对接的工作，不限于专人优化培训材料、专人在线服务及管理"日常问答"、专人梳理需求并反馈用户等。质保期内提供每月一次服务器巡检服务。 3、质保期内、外，投标人提供运维服务，范围包括日常巡检、故障响应、技术支持、优化与升级、培训服务。投标人提供 7x24小时技术咨询服务和故障服务受理，2 小时内完成故障分析与定位，启动故障恢复流程。若为本系统故障，投标人承诺30分钟内恢复系统服务；若为其他供应商导致的故障，投标人将积极配合对方，尽快恢复服务。质保期内每月出具服务报告，包括服务器巡检报告、售后服务报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书面声明.docx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 xml:space="preserve"> 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须提供开标前一年内（2024.11-2025.10）任意一个月的依法缴纳税收的完税证明（增值税、企业所得税至少提供一种），依法免税的或不需要缴纳的供应商，应提供相关证明；供应商须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社会保险缴纳证明</w:t>
            </w:r>
          </w:p>
        </w:tc>
        <w:tc>
          <w:tcPr>
            <w:tcW w:type="dxa" w:w="3322"/>
          </w:tcPr>
          <w:p>
            <w:pPr>
              <w:pStyle w:val="null3"/>
            </w:pPr>
            <w:r>
              <w:rPr>
                <w:rFonts w:ascii="仿宋_GB2312" w:hAnsi="仿宋_GB2312" w:cs="仿宋_GB2312" w:eastAsia="仿宋_GB2312"/>
              </w:rPr>
              <w:t>供应商须提供开标前一年内（2024.11-2025.10）任意一个月的已缴纳的社会保险证明（种类至少包括养老保险）；依法不需要缴纳社会保险的供应商应提供相关证明文件；供应商须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供应商提供具有财务审计资质单位出具的2024年度完整财务报告或开标前六个月内（2025.5-2025.10）其基本账户银行出具的资信证明；供应商须在项目电子化交易系统中按要求上传，并进行电子签章。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供应商须在项目电子化交易系统中按要求上传《供应商无重大违法记录书面声明函》，并进行电子签章。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供应商须在项目电子化交易系统中按要求上传《供应商信用记录书面声明函》，并进行电子签章。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 xml:space="preserve"> 供应商须提供《非联合体不分包投标声明》，并在项目电子化交易系统中按要求上传《非联合体不分包投标声明》，并进行电子签章。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 xml:space="preserve"> 投标文件以下三处的项目名称、项目编号无遗漏，且与本项目一致： （1）封面； （2）投标函； （3）法定代表人委托授权书。 说明：以投标函中的项目名称、项目编号为准。</w:t>
            </w:r>
          </w:p>
        </w:tc>
        <w:tc>
          <w:tcPr>
            <w:tcW w:type="dxa" w:w="1661"/>
          </w:tcPr>
          <w:p>
            <w:pPr>
              <w:pStyle w:val="null3"/>
            </w:pPr>
            <w:r>
              <w:rPr>
                <w:rFonts w:ascii="仿宋_GB2312" w:hAnsi="仿宋_GB2312" w:cs="仿宋_GB2312" w:eastAsia="仿宋_GB2312"/>
              </w:rPr>
              <w:t>法定代表人身份证明、法定代表人授权委托书.docx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对本项目技术、服务、商务及其他要求的响应</w:t>
            </w:r>
          </w:p>
        </w:tc>
        <w:tc>
          <w:tcPr>
            <w:tcW w:type="dxa" w:w="3322"/>
          </w:tcPr>
          <w:p>
            <w:pPr>
              <w:pStyle w:val="null3"/>
            </w:pPr>
            <w:r>
              <w:rPr>
                <w:rFonts w:ascii="仿宋_GB2312" w:hAnsi="仿宋_GB2312" w:cs="仿宋_GB2312" w:eastAsia="仿宋_GB2312"/>
              </w:rPr>
              <w:t>完全理解并接受招标文件中技术、服务、商务及其他要求。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（1）报价符合唯一性要求： （2）开标一览表填写符合要求；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签字、盖章符合招标文件要求，且无遗漏。</w:t>
            </w:r>
          </w:p>
        </w:tc>
        <w:tc>
          <w:tcPr>
            <w:tcW w:type="dxa" w:w="1661"/>
          </w:tcPr>
          <w:p>
            <w:pPr>
              <w:pStyle w:val="null3"/>
            </w:pPr>
            <w:r>
              <w:rPr>
                <w:rFonts w:ascii="仿宋_GB2312" w:hAnsi="仿宋_GB2312" w:cs="仿宋_GB2312" w:eastAsia="仿宋_GB2312"/>
              </w:rPr>
              <w:t>开标一览表 服务内容及服务邀请应答表 法定代表人身份证明、法定代表人授权委托书.docx 中小企业声明函 商务应答表 非联合体不分包投标声明.docx 供应商无重大违法记录书面声明函.docx 投标人应提交的相关资格证明材料 供应商信用记录书面声明函.docx 自行编制，格式不限.docx 投标函 书面声明.docx 残疾人福利性单位声明函 服务方案 人员情况表.docx 标的清单 投标文件封面 报价明细表.docx 监狱企业的证明文件 业绩响应表.docx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技术参数与性能指标</w:t>
            </w:r>
          </w:p>
        </w:tc>
        <w:tc>
          <w:tcPr>
            <w:tcW w:type="dxa" w:w="2492"/>
          </w:tcPr>
          <w:p>
            <w:pPr>
              <w:pStyle w:val="null3"/>
            </w:pPr>
            <w:r>
              <w:rPr>
                <w:rFonts w:ascii="仿宋_GB2312" w:hAnsi="仿宋_GB2312" w:cs="仿宋_GB2312" w:eastAsia="仿宋_GB2312"/>
              </w:rPr>
              <w:t>技术参数与性能指标清楚、明确，有相应齐全的技术资料，完全满足招标文件要求得18分；▲负偏离一条扣1分，非▲负偏离一条扣0.5分；扣完为止。评审依据：提供生产厂家确认的具有相应的功能证明材料。（包括但不限于投标产品彩页、产品说明书、认证证书、检测/检验报告、官网截图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方案内容包括：①项目管理组织；②项目实施方案；③质量管理与控制措施、④项目风险及控制措施；⑤安全保障措施，进行综合评分。方案科学、实用，内容完整，完全满足采购需求，无瑕疵得7分；存在1处瑕疵得5分；存在2处瑕疵得3分；存在3处瑕疵得1分；未提供或内容存在4处及以上瑕疵得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提供的应急方案，在项目进行中充分考虑突发事件发生后的处置策略及步骤，具有应对突发事件的相应应急功能，同时提供具体操作内容及方式。应急方案应包括但不限于①应急事件分类；②各类应急事件的完整处理流程；③业务恢复步骤；④业务恢复后数据处理方案等。响应内容详细具体、科学合理、针对应急状况考虑全面，具有可行性，无瑕疵得8分；存在1处瑕疵得6分；存在2处瑕疵得4分；存在3处瑕疵计得2分；未提供或内容存在4处及以上瑕疵得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2021年1月1日至今类似项目业绩，且单份业绩合同金额100万(含)以上，每提供一份有效业绩合同的得1分，满分5分，不提供不得分。备注：提供有甲乙双方公章的完整合同复印件并加盖投标人公章，时间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业绩响应表.docx</w:t>
            </w:r>
          </w:p>
        </w:tc>
      </w:tr>
      <w:tr>
        <w:tc>
          <w:tcPr>
            <w:tcW w:type="dxa" w:w="831"/>
            <w:vMerge/>
          </w:tcPr>
          <w:p/>
        </w:tc>
        <w:tc>
          <w:tcPr>
            <w:tcW w:type="dxa" w:w="1661"/>
          </w:tcPr>
          <w:p>
            <w:pPr>
              <w:pStyle w:val="null3"/>
            </w:pPr>
            <w:r>
              <w:rPr>
                <w:rFonts w:ascii="仿宋_GB2312" w:hAnsi="仿宋_GB2312" w:cs="仿宋_GB2312" w:eastAsia="仿宋_GB2312"/>
              </w:rPr>
              <w:t>本项目投入人员</w:t>
            </w:r>
          </w:p>
        </w:tc>
        <w:tc>
          <w:tcPr>
            <w:tcW w:type="dxa" w:w="2492"/>
          </w:tcPr>
          <w:p>
            <w:pPr>
              <w:pStyle w:val="null3"/>
            </w:pPr>
            <w:r>
              <w:rPr>
                <w:rFonts w:ascii="仿宋_GB2312" w:hAnsi="仿宋_GB2312" w:cs="仿宋_GB2312" w:eastAsia="仿宋_GB2312"/>
              </w:rPr>
              <w:t>投标人拟投入本项目人员至少50人 1、拟派本项目负责人1人，①大专及以上学历得1分②提供信息系统项目管理师证书、系统架构设计师证书、软件设计师证书，每提供一个证书得1分，最高得3分③提供投标人为项目负责人缴纳的开标前六个月内（2025.6-2025.11）至少一个月的社保缴纳证明材料（至少包括养老保险），得1分。（0-5 分） 2、技术负责人（1人），①大专及以上学历得1分②提供系统规划与管理师证书、软件设计师证书，每提供一个得1分，最高得2分③提供投标人为技术负责人缴纳的开标前六个月内（2025.6-2025.11）至少一个月的社保缴纳证明材料（至少包括养老保险），得1分。（0-4分） 3、其他人员（除项目负责人和技术负责人外），需同时具备以下条件①大专及以上学历②人社部门颁发的有效期内的：系统分析师证书（或系统集成项目管理工程师、软件评测师、数据库系统工程师、信息安全管理工程师证书）③提供投标人为其他人员缴纳的开标前六个月内（2025.6-2025.11）至少一个月的社保缴纳证明材料（至少包括养老保险）或有效劳动合同。每一人得0.5分，本项最多得8分； 备注：1、人员岗位不得兼任，同一人员具有多个证书的，不重复计分。2、投标文件中提供人员情况表(后附相关证书扫描件、社保缴纳证明、劳动合同等。）</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1、投标人具备DCMM数据管理能力成熟度等级证书，四级得1.5分，三级得1分，其余不得分； 2、投标人具备信息系统建设和服务能力等级证书，得1.5分； 3、投标人具备ISO27701隐私信息管理体系认证证书，得1.5分； 4、投标人具备质量管理体系认证证书，得1分； 5、投标人具备信息安全服务资质认证证书（安全集成）一级得1.5分，二级得1分，其余不得分。 评审依据：需提供以上相关证书或佐证材料扫描件或复印件并加盖投标人公章，未提供不计分。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项目培训方案</w:t>
            </w:r>
          </w:p>
        </w:tc>
        <w:tc>
          <w:tcPr>
            <w:tcW w:type="dxa" w:w="2492"/>
          </w:tcPr>
          <w:p>
            <w:pPr>
              <w:pStyle w:val="null3"/>
            </w:pPr>
            <w:r>
              <w:rPr>
                <w:rFonts w:ascii="仿宋_GB2312" w:hAnsi="仿宋_GB2312" w:cs="仿宋_GB2312" w:eastAsia="仿宋_GB2312"/>
              </w:rPr>
              <w:t>根据投标人提供的项目培训方案，方案内容包括：①培训方式；②培训内容；③培训质量保障，进行综合评分。方案科学、实用，内容完整，完全满足采购需求，无瑕疵得9分；存在1处瑕疵得6分；存在2处瑕疵得3分；未提供或内容存在3处及以上瑕疵得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方案内容包括：①售后服务方式；②售后服务措施；③售后服务体系，进行综合评分。方案内容完整合理、可行性强且完全满足采购要求的得9分；存在1处瑕疵得6分；存在2处瑕疵得3分；存在3处瑕疵得1分；未提供或内容存在4处及以上瑕疵得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满足招标文件要求且价格最低的报价为评标基准价，其价格分为满分。其他投标人的价格分统一按照下列公式计算：报价得分=（评标基准价/报价）×20。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详见附件：人员情况表.docx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详见附件：业绩响应表.docx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详见附件：自行编制，格式不限.docx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