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版本号：PTZX-2025-ZC02920251107002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渭南市文旅大数据平台建设项目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PTZX-2025-ZC029</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鹏泰（陕西）项目管理咨询有限责任公司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鹏泰（陕西）项目管理咨询有限责任公司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渭南市文旅大数据平台建设项目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PTZX-2025-ZC029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渭南市文旅大数据平台建设项目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渭南市文旅大数据平台包含游客画像、消费数据、游客反馈、3A级景区运行状态等模块：1、应用基础定制软件开发2、产业运行监测平台。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10、非专门面向中小企业采购：中小企业采购声明函；供应商需在项目电子化交易系统中按要求上传相应证明文件并进行电子签章。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应具有独立承担民事责任的能力且具备向采购人提供相关服务的企业法人、事业法人、其他组织或自然人：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证明文件并进行电子签章。</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p>
      <w:pPr>
        <w:pStyle w:val="null3"/>
      </w:pPr>
      <w:r>
        <w:rPr>
          <w:rFonts w:ascii="仿宋_GB2312" w:hAnsi="仿宋_GB2312" w:cs="仿宋_GB2312" w:eastAsia="仿宋_GB2312"/>
        </w:rPr>
        <w:t>3、提供2024年度的财务审计报告：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p>
      <w:pPr>
        <w:pStyle w:val="null3"/>
      </w:pPr>
      <w:r>
        <w:rPr>
          <w:rFonts w:ascii="仿宋_GB2312" w:hAnsi="仿宋_GB2312" w:cs="仿宋_GB2312" w:eastAsia="仿宋_GB2312"/>
        </w:rPr>
        <w:t>4、税收缴纳证明：提供投标截止日前近一年内任意一个月的纳税证明或完税证明（任意税种），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5、社会保障资金缴纳证明：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6、专业技术能力的说明及承诺书：提供具有履行本合同所必需的设备和专业技术能力的说明及承诺书；供应商需在项目电子化交易系统中按要求上传相应证明文件并进行电子签章。</w:t>
      </w:r>
    </w:p>
    <w:p>
      <w:pPr>
        <w:pStyle w:val="null3"/>
      </w:pPr>
      <w:r>
        <w:rPr>
          <w:rFonts w:ascii="仿宋_GB2312" w:hAnsi="仿宋_GB2312" w:cs="仿宋_GB2312" w:eastAsia="仿宋_GB2312"/>
        </w:rPr>
        <w:t>7、企业信用：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p>
      <w:pPr>
        <w:pStyle w:val="null3"/>
      </w:pPr>
      <w:r>
        <w:rPr>
          <w:rFonts w:ascii="仿宋_GB2312" w:hAnsi="仿宋_GB2312" w:cs="仿宋_GB2312" w:eastAsia="仿宋_GB2312"/>
        </w:rPr>
        <w:t>8、无违法情况说明：参加政府采购活动前3年内，在经营活动中没有重大违法记录的书面声明；供应商需在项目电子化交易系统中按要求上传相应证明文件并进行电子签章。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9、不接受联合体投标：本项目不接受联合体投标（提供承诺书）；供应商需在项目电子化交易系统中按要求上传相应证明文件并进行电子签章。</w:t>
      </w:r>
    </w:p>
    <w:p>
      <w:pPr>
        <w:pStyle w:val="null3"/>
      </w:pPr>
      <w:r>
        <w:rPr>
          <w:rFonts w:ascii="仿宋_GB2312" w:hAnsi="仿宋_GB2312" w:cs="仿宋_GB2312" w:eastAsia="仿宋_GB2312"/>
        </w:rPr>
        <w:t>10、非专门面向中小企业采购：中小企业声明函；供应商需在项目电子化交易系统中按要求上传相应证明文件并进行电子签章。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13992339785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鹏泰（陕西）项目管理咨询有限责任公司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陕西省西安市莲湖区陕西省西安市莲湖区龙首北路西段11号甘肃省离休干部西安休养所东9栋202室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19929278073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采购包1：475,000.00元</w:t>
            </w:r>
          </w:p>
          <w:p>
            <w:pPr>
              <w:pStyle w:val="null3"/>
            </w:pPr>
            <w:r>
              <w:rPr>
                <w:rFonts w:ascii="仿宋_GB2312" w:hAnsi="仿宋_GB2312" w:cs="仿宋_GB2312" w:eastAsia="仿宋_GB2312"/>
              </w:rPr>
              <w:t>采购包2：2,685,000.00元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采购包2保证金金额：30,000.00元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开户名称：鹏泰（陕西）项目管理咨询有限责任公司</w:t>
            </w:r>
          </w:p>
          <w:p>
            <w:pPr>
              <w:pStyle w:val="null3"/>
            </w:pPr>
            <w:r>
              <w:rPr>
                <w:rFonts w:ascii="仿宋_GB2312" w:hAnsi="仿宋_GB2312" w:cs="仿宋_GB2312" w:eastAsia="仿宋_GB2312"/>
              </w:rPr>
              <w:t>开户银行：中国建设银行股份有限公司西安元朔路支行</w:t>
            </w:r>
          </w:p>
          <w:p>
            <w:pPr>
              <w:pStyle w:val="null3"/>
            </w:pPr>
            <w:r>
              <w:rPr>
                <w:rFonts w:ascii="仿宋_GB2312" w:hAnsi="仿宋_GB2312" w:cs="仿宋_GB2312" w:eastAsia="仿宋_GB2312"/>
              </w:rPr>
              <w:t>银行账号：6105 0111 7695 0000 0789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发改办价格[2003]857号文件精神，本协议政府采购项目的政府采购代理费参照国家收费标准（计价格【2002】1980号、发改价格【2011】534号文、陕价行发【2012】72号）计算政府采购代理服务费。政府采购代理服务费由中标（成交）人在领取中标（成交）通知书前一次性支付给政府采购代理机构。 收款单位：鹏泰(陕西)项目管理咨询有限责任公司 开 户 行：中国建设银行股份有限公司西安凤城八路支行 账 号：61050171780000000926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鹏泰（陕西）项目管理咨询有限责任公司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鹏泰（陕西）项目管理咨询有限责任公司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鹏泰（陕西）项目管理咨询有限责任公司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国家、省市相关规范、其他相关专业现行规范及采购文件要求。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国家、省市相关规范、其他相关专业现行规范及采购文件要求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鹏泰（陕西）项目管理咨询有限责任公司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联系人：杨蕾</w:t>
      </w:r>
    </w:p>
    <w:p>
      <w:pPr>
        <w:pStyle w:val="null3"/>
      </w:pPr>
      <w:r>
        <w:rPr>
          <w:rFonts w:ascii="仿宋_GB2312" w:hAnsi="仿宋_GB2312" w:cs="仿宋_GB2312" w:eastAsia="仿宋_GB2312"/>
        </w:rPr>
        <w:t>联系电话：19929278073</w:t>
      </w:r>
    </w:p>
    <w:p>
      <w:pPr>
        <w:pStyle w:val="null3"/>
      </w:pPr>
      <w:r>
        <w:rPr>
          <w:rFonts w:ascii="仿宋_GB2312" w:hAnsi="仿宋_GB2312" w:cs="仿宋_GB2312" w:eastAsia="仿宋_GB2312"/>
        </w:rPr>
        <w:t>地址：陕西省西安市广安路振业泊公馆一号楼二单元1104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渭南市文旅大数据平台包含游客画像、消费数据、游客反馈、3A级景区运行状态等模块：1、应用基础定制软件开发2、产业运行监测平台。</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475,000.00</w:t>
      </w:r>
    </w:p>
    <w:p>
      <w:pPr>
        <w:pStyle w:val="null3"/>
      </w:pPr>
      <w:r>
        <w:rPr>
          <w:rFonts w:ascii="仿宋_GB2312" w:hAnsi="仿宋_GB2312" w:cs="仿宋_GB2312" w:eastAsia="仿宋_GB2312"/>
        </w:rPr>
        <w:t>采购包最高限价（元）: 475,000.00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渭南市文旅大数据平台建设项目合同包1应用基础定制软件开发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475,000.00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2,685,000.00</w:t>
      </w:r>
    </w:p>
    <w:p>
      <w:pPr>
        <w:pStyle w:val="null3"/>
      </w:pPr>
      <w:r>
        <w:rPr>
          <w:rFonts w:ascii="仿宋_GB2312" w:hAnsi="仿宋_GB2312" w:cs="仿宋_GB2312" w:eastAsia="仿宋_GB2312"/>
        </w:rPr>
        <w:t>采购包最高限价（元）: 2,685,000.00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渭南市文旅大数据平台建设项目合同包2：产业运行监测平台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2,685,000.00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标的名称：渭南市文旅大数据平台建设项目合同包1应用基础定制软件开发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1、支持景区资源的导出，并可选择导出字段；</w:t>
            </w:r>
            <w:r>
              <w:br/>
            </w:r>
            <w:r>
              <w:rPr>
                <w:rFonts w:ascii="仿宋_GB2312" w:hAnsi="仿宋_GB2312" w:cs="仿宋_GB2312" w:eastAsia="仿宋_GB2312"/>
              </w:rPr>
              <w:t xml:space="preserve"> 2、支持海康SDK、大华SDK、RTSP协议、GB28181协议接入监控</w:t>
            </w:r>
            <w:r>
              <w:br/>
            </w:r>
            <w:r>
              <w:rPr>
                <w:rFonts w:ascii="仿宋_GB2312" w:hAnsi="仿宋_GB2312" w:cs="仿宋_GB2312" w:eastAsia="仿宋_GB2312"/>
              </w:rPr>
              <w:t xml:space="preserve"> 3、支持HTTP-FLV、WSFLV、WebRTC、HLS、RTMP协议分发</w:t>
            </w:r>
            <w:r>
              <w:br/>
            </w:r>
            <w:r>
              <w:rPr>
                <w:rFonts w:ascii="仿宋_GB2312" w:hAnsi="仿宋_GB2312" w:cs="仿宋_GB2312" w:eastAsia="仿宋_GB2312"/>
              </w:rPr>
              <w:t xml:space="preserve"> 4、支持国标协议共享监控，并支持上级平台的并发路数限制</w:t>
            </w:r>
            <w:r>
              <w:br/>
            </w:r>
            <w:r>
              <w:rPr>
                <w:rFonts w:ascii="仿宋_GB2312" w:hAnsi="仿宋_GB2312" w:cs="仿宋_GB2312" w:eastAsia="仿宋_GB2312"/>
              </w:rPr>
              <w:t xml:space="preserve"> 5、支持景区客流上报数据的异常监测，包括但不限于上报中断、连续上报为0等，并支持飞书、企业微信、钉钉的消息通知、短信通知</w:t>
            </w:r>
          </w:p>
          <w:p>
            <w:pPr>
              <w:pStyle w:val="null3"/>
            </w:pPr>
            <w:r>
              <w:rPr>
                <w:rFonts w:ascii="仿宋_GB2312" w:hAnsi="仿宋_GB2312" w:cs="仿宋_GB2312" w:eastAsia="仿宋_GB2312"/>
              </w:rPr>
              <w:t>6、须为国产产品</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标的名称：渭南市文旅大数据平台建设项目合同包2：产业运行监测平台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numPr>
                <w:ilvl w:val="0"/>
                <w:numId w:val="1"/>
              </w:numPr>
              <w:jc w:val="center"/>
            </w:pPr>
            <w:r>
              <w:rPr>
                <w:rFonts w:ascii="仿宋_GB2312" w:hAnsi="仿宋_GB2312" w:cs="仿宋_GB2312" w:eastAsia="仿宋_GB2312"/>
                <w:sz w:val="24"/>
              </w:rPr>
              <w:t>文旅产业运行监测平台</w:t>
            </w:r>
            <w:r>
              <w:rPr>
                <w:rFonts w:ascii="仿宋_GB2312" w:hAnsi="仿宋_GB2312" w:cs="仿宋_GB2312" w:eastAsia="仿宋_GB2312"/>
                <w:sz w:val="24"/>
              </w:rPr>
              <w:t>PC端建设内容</w:t>
            </w:r>
            <w:r>
              <w:rPr>
                <w:rFonts w:ascii="仿宋_GB2312" w:hAnsi="仿宋_GB2312" w:cs="仿宋_GB2312" w:eastAsia="仿宋_GB2312"/>
                <w:sz w:val="24"/>
              </w:rPr>
              <w:t>清单</w:t>
            </w:r>
          </w:p>
          <w:tbl>
            <w:tblPr>
              <w:tblBorders>
                <w:top w:val="none" w:color="000000" w:sz="4"/>
                <w:left w:val="none" w:color="000000" w:sz="4"/>
                <w:bottom w:val="none" w:color="000000" w:sz="4"/>
                <w:right w:val="none" w:color="000000" w:sz="4"/>
                <w:insideH w:val="none"/>
                <w:insideV w:val="none"/>
              </w:tblBorders>
            </w:tblPr>
            <w:tblGrid>
              <w:gridCol w:w="104"/>
              <w:gridCol w:w="410"/>
              <w:gridCol w:w="280"/>
              <w:gridCol w:w="234"/>
              <w:gridCol w:w="1524"/>
            </w:tblGrid>
            <w:tr>
              <w:tc>
                <w:tcPr>
                  <w:tcW w:type="dxa" w:w="104"/>
                  <w:vMerge w:val="restart"/>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序号</w:t>
                  </w:r>
                </w:p>
              </w:tc>
              <w:tc>
                <w:tcPr>
                  <w:tcW w:type="dxa" w:w="410"/>
                  <w:vMerge w:val="restart"/>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功能板块</w:t>
                  </w:r>
                </w:p>
              </w:tc>
              <w:tc>
                <w:tcPr>
                  <w:tcW w:type="dxa" w:w="514"/>
                  <w:gridSpan w:val="2"/>
                  <w:vMerge w:val="restart"/>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子系统</w:t>
                  </w:r>
                </w:p>
              </w:tc>
              <w:tc>
                <w:tcPr>
                  <w:tcW w:type="dxa" w:w="1524"/>
                  <w:vMerge w:val="restart"/>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功能明细</w:t>
                  </w:r>
                </w:p>
              </w:tc>
            </w:tr>
            <w:tr>
              <w:tc>
                <w:tcPr>
                  <w:tcW w:type="dxa" w:w="104"/>
                  <w:vMerge/>
                  <w:tcBorders>
                    <w:top w:val="single" w:color="000000" w:sz="4"/>
                    <w:left w:val="single" w:color="000000" w:sz="4"/>
                    <w:bottom w:val="single" w:color="000000" w:sz="4"/>
                    <w:right w:val="single" w:color="000000" w:sz="4"/>
                  </w:tcBorders>
                </w:tcPr>
                <w:p/>
              </w:tc>
              <w:tc>
                <w:tcPr>
                  <w:tcW w:type="dxa" w:w="410"/>
                  <w:vMerge/>
                  <w:tcBorders>
                    <w:top w:val="single" w:color="000000" w:sz="4"/>
                    <w:left w:val="none" w:color="000000" w:sz="4"/>
                    <w:bottom w:val="single" w:color="000000" w:sz="4"/>
                    <w:right w:val="single" w:color="000000" w:sz="4"/>
                  </w:tcBorders>
                </w:tcPr>
                <w:p/>
              </w:tc>
              <w:tc>
                <w:tcPr>
                  <w:tcW w:type="dxa" w:w="514"/>
                  <w:gridSpan w:val="2"/>
                  <w:vMerge/>
                  <w:tcBorders>
                    <w:top w:val="single" w:color="000000" w:sz="4"/>
                    <w:left w:val="none" w:color="000000" w:sz="4"/>
                    <w:bottom w:val="single" w:color="000000" w:sz="4"/>
                    <w:right w:val="single" w:color="000000" w:sz="4"/>
                  </w:tcBorders>
                </w:tcP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4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w:t>
                  </w: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登录页</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支持账户</w:t>
                  </w:r>
                  <w:r>
                    <w:rPr>
                      <w:rFonts w:ascii="仿宋_GB2312" w:hAnsi="仿宋_GB2312" w:cs="仿宋_GB2312" w:eastAsia="仿宋_GB2312"/>
                      <w:sz w:val="21"/>
                      <w:color w:val="262626"/>
                    </w:rPr>
                    <w:t>/密码、手机号/密码、手机号/验证码多种方式登录，忘记密码等功能，方便用户登录访问。</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4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产业运行监测</w:t>
                  </w:r>
                </w:p>
              </w:tc>
              <w:tc>
                <w:tcPr>
                  <w:tcW w:type="dxa" w:w="28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文旅基础资源</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全部</w:t>
                  </w:r>
                </w:p>
              </w:tc>
              <w:tc>
                <w:tcPr>
                  <w:tcW w:type="dxa" w:w="15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GIS地图展示文旅资源的位置分布情况，文旅资源构成统计；</w:t>
                  </w:r>
                  <w:r>
                    <w:br/>
                  </w:r>
                  <w:r>
                    <w:rPr>
                      <w:rFonts w:ascii="仿宋_GB2312" w:hAnsi="仿宋_GB2312" w:cs="仿宋_GB2312" w:eastAsia="仿宋_GB2312"/>
                      <w:sz w:val="21"/>
                      <w:color w:val="000000"/>
                    </w:rPr>
                    <w:t>支持地图模式切换（卫星地图、数字地图、路况地图）；</w:t>
                  </w:r>
                  <w:r>
                    <w:br/>
                  </w:r>
                  <w:r>
                    <w:rPr>
                      <w:rFonts w:ascii="仿宋_GB2312" w:hAnsi="仿宋_GB2312" w:cs="仿宋_GB2312" w:eastAsia="仿宋_GB2312"/>
                      <w:sz w:val="21"/>
                      <w:color w:val="000000"/>
                    </w:rPr>
                    <w:t>支持查看系统各文旅资源数量分布、各地区旅游资源排行。</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A级景区</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GIS地图展示景区资源的位置分布情况；</w:t>
                  </w:r>
                  <w:r>
                    <w:br/>
                  </w:r>
                  <w:r>
                    <w:rPr>
                      <w:rFonts w:ascii="仿宋_GB2312" w:hAnsi="仿宋_GB2312" w:cs="仿宋_GB2312" w:eastAsia="仿宋_GB2312"/>
                      <w:sz w:val="21"/>
                      <w:color w:val="000000"/>
                    </w:rPr>
                    <w:t>支持查看资源列表，点击可查看资源详细情况（总览、监控、网络评价）</w:t>
                  </w:r>
                  <w:r>
                    <w:br/>
                  </w:r>
                  <w:r>
                    <w:rPr>
                      <w:rFonts w:ascii="仿宋_GB2312" w:hAnsi="仿宋_GB2312" w:cs="仿宋_GB2312" w:eastAsia="仿宋_GB2312"/>
                      <w:sz w:val="21"/>
                      <w:color w:val="000000"/>
                    </w:rPr>
                    <w:t>支持查看景区资源等级分布、各地区资源分布。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休闲街区</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旅游度假区</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乡村旅游重点村</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595959" w:sz="4"/>
                    <w:right w:val="single" w:color="595959"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图书馆</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8</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595959" w:sz="4"/>
                    <w:right w:val="single" w:color="595959"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博物馆</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9</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595959" w:sz="4"/>
                    <w:right w:val="single" w:color="595959"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美术馆</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10</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595959" w:sz="4"/>
                    <w:right w:val="single" w:color="595959"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文化馆</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11</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595959" w:sz="4"/>
                    <w:right w:val="single" w:color="595959"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文化站</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基于</w:t>
                  </w:r>
                  <w:r>
                    <w:rPr>
                      <w:rFonts w:ascii="仿宋_GB2312" w:hAnsi="仿宋_GB2312" w:cs="仿宋_GB2312" w:eastAsia="仿宋_GB2312"/>
                      <w:sz w:val="21"/>
                      <w:color w:val="000000"/>
                    </w:rPr>
                    <w:t>GIS地图展示资源的位置分布情况；</w:t>
                  </w:r>
                  <w:r>
                    <w:br/>
                  </w:r>
                  <w:r>
                    <w:rPr>
                      <w:rFonts w:ascii="仿宋_GB2312" w:hAnsi="仿宋_GB2312" w:cs="仿宋_GB2312" w:eastAsia="仿宋_GB2312"/>
                      <w:sz w:val="21"/>
                      <w:color w:val="000000"/>
                    </w:rPr>
                    <w:t>支持查看资源列表，点击可查看资源详细信息；</w:t>
                  </w:r>
                  <w:r>
                    <w:br/>
                  </w:r>
                  <w:r>
                    <w:rPr>
                      <w:rFonts w:ascii="仿宋_GB2312" w:hAnsi="仿宋_GB2312" w:cs="仿宋_GB2312" w:eastAsia="仿宋_GB2312"/>
                      <w:sz w:val="21"/>
                      <w:color w:val="000000"/>
                    </w:rPr>
                    <w:t>支持查看资源等级分布、各地区资源分布。</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非物质文化遗产</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展示辖区内非物质文化遗产的类型分布、级别分布、非物质文化遗产名片、申报单位排行、项目保护单位排行。</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c>
                <w:tcPr>
                  <w:tcW w:type="dxa" w:w="410"/>
                  <w:vMerge/>
                  <w:tcBorders>
                    <w:top w:val="none" w:color="000000" w:sz="4"/>
                    <w:left w:val="none" w:color="000000" w:sz="4"/>
                    <w:bottom w:val="single" w:color="000000" w:sz="4"/>
                    <w:right w:val="single" w:color="000000" w:sz="4"/>
                  </w:tcBorders>
                </w:tcPr>
                <w:p/>
              </w:tc>
              <w:tc>
                <w:tcPr>
                  <w:tcW w:type="dxa" w:w="2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景区运行监测</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景区网评监测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支持按近</w:t>
                  </w:r>
                  <w:r>
                    <w:rPr>
                      <w:rFonts w:ascii="仿宋_GB2312" w:hAnsi="仿宋_GB2312" w:cs="仿宋_GB2312" w:eastAsia="仿宋_GB2312"/>
                      <w:sz w:val="21"/>
                      <w:color w:val="000000"/>
                    </w:rPr>
                    <w:t>1月、近3月、近半年、近一年维度查询景区网评信息：</w:t>
                  </w:r>
                  <w:r>
                    <w:br/>
                  </w:r>
                  <w:r>
                    <w:rPr>
                      <w:rFonts w:ascii="仿宋_GB2312" w:hAnsi="仿宋_GB2312" w:cs="仿宋_GB2312" w:eastAsia="仿宋_GB2312"/>
                      <w:sz w:val="21"/>
                      <w:color w:val="000000"/>
                    </w:rPr>
                    <w:t>支持查看区域内景区评论数、满意度数量及全省排名，好评率、差评率；</w:t>
                  </w:r>
                  <w:r>
                    <w:br/>
                  </w:r>
                  <w:r>
                    <w:rPr>
                      <w:rFonts w:ascii="仿宋_GB2312" w:hAnsi="仿宋_GB2312" w:cs="仿宋_GB2312" w:eastAsia="仿宋_GB2312"/>
                      <w:sz w:val="21"/>
                      <w:color w:val="000000"/>
                    </w:rPr>
                    <w:t>支持按景区评论热门度、满意度排行。</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w:t>
                  </w:r>
                </w:p>
              </w:tc>
              <w:tc>
                <w:tcPr>
                  <w:tcW w:type="dxa" w:w="410"/>
                  <w:vMerge/>
                  <w:tcBorders>
                    <w:top w:val="none" w:color="000000" w:sz="4"/>
                    <w:left w:val="none" w:color="000000" w:sz="4"/>
                    <w:bottom w:val="single" w:color="000000" w:sz="4"/>
                    <w:right w:val="single" w:color="000000" w:sz="4"/>
                  </w:tcBorders>
                </w:tcPr>
                <w:p/>
              </w:tc>
              <w:tc>
                <w:tcPr>
                  <w:tcW w:type="dxa" w:w="28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酒店运行监测</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酒店网评监测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支持按近</w:t>
                  </w:r>
                  <w:r>
                    <w:rPr>
                      <w:rFonts w:ascii="仿宋_GB2312" w:hAnsi="仿宋_GB2312" w:cs="仿宋_GB2312" w:eastAsia="仿宋_GB2312"/>
                      <w:sz w:val="21"/>
                      <w:color w:val="000000"/>
                    </w:rPr>
                    <w:t>1月、近3月、近半年、近一年维度查询酒店网评信息：</w:t>
                  </w:r>
                  <w:r>
                    <w:br/>
                  </w:r>
                  <w:r>
                    <w:rPr>
                      <w:rFonts w:ascii="仿宋_GB2312" w:hAnsi="仿宋_GB2312" w:cs="仿宋_GB2312" w:eastAsia="仿宋_GB2312"/>
                      <w:sz w:val="21"/>
                      <w:color w:val="000000"/>
                    </w:rPr>
                    <w:t>支持查看区域内酒店评论数、满意度数量及全省排名，好评率、差评率；</w:t>
                  </w:r>
                  <w:r>
                    <w:br/>
                  </w:r>
                  <w:r>
                    <w:rPr>
                      <w:rFonts w:ascii="仿宋_GB2312" w:hAnsi="仿宋_GB2312" w:cs="仿宋_GB2312" w:eastAsia="仿宋_GB2312"/>
                      <w:sz w:val="21"/>
                      <w:color w:val="000000"/>
                    </w:rPr>
                    <w:t>支持查看酒店最新的</w:t>
                  </w:r>
                  <w:r>
                    <w:rPr>
                      <w:rFonts w:ascii="仿宋_GB2312" w:hAnsi="仿宋_GB2312" w:cs="仿宋_GB2312" w:eastAsia="仿宋_GB2312"/>
                      <w:sz w:val="21"/>
                      <w:color w:val="000000"/>
                    </w:rPr>
                    <w:t>50条评论数据；</w:t>
                  </w:r>
                  <w:r>
                    <w:br/>
                  </w:r>
                  <w:r>
                    <w:rPr>
                      <w:rFonts w:ascii="仿宋_GB2312" w:hAnsi="仿宋_GB2312" w:cs="仿宋_GB2312" w:eastAsia="仿宋_GB2312"/>
                      <w:sz w:val="21"/>
                      <w:color w:val="000000"/>
                    </w:rPr>
                    <w:t>支持按酒店评论热门度、满意度排行。</w:t>
                  </w:r>
                  <w:r>
                    <w:br/>
                  </w:r>
                  <w:r>
                    <w:rPr>
                      <w:rFonts w:ascii="仿宋_GB2312" w:hAnsi="仿宋_GB2312" w:cs="仿宋_GB2312" w:eastAsia="仿宋_GB2312"/>
                      <w:sz w:val="21"/>
                      <w:color w:val="000000"/>
                    </w:rPr>
                    <w:t>支持总评论数、满意度趋势查看；</w:t>
                  </w:r>
                  <w:r>
                    <w:br/>
                  </w:r>
                  <w:r>
                    <w:rPr>
                      <w:rFonts w:ascii="仿宋_GB2312" w:hAnsi="仿宋_GB2312" w:cs="仿宋_GB2312" w:eastAsia="仿宋_GB2312"/>
                      <w:sz w:val="21"/>
                      <w:color w:val="000000"/>
                    </w:rPr>
                    <w:t>支持好评评论数、好评率趋势查看；</w:t>
                  </w:r>
                  <w:r>
                    <w:br/>
                  </w:r>
                  <w:r>
                    <w:rPr>
                      <w:rFonts w:ascii="仿宋_GB2312" w:hAnsi="仿宋_GB2312" w:cs="仿宋_GB2312" w:eastAsia="仿宋_GB2312"/>
                      <w:sz w:val="21"/>
                      <w:color w:val="000000"/>
                    </w:rPr>
                    <w:t>支持差评评论数、差评率趋势查看。</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14</w:t>
                  </w:r>
                </w:p>
              </w:tc>
              <w:tc>
                <w:tcPr>
                  <w:tcW w:type="dxa" w:w="410"/>
                  <w:vMerge/>
                  <w:tcBorders>
                    <w:top w:val="none" w:color="000000" w:sz="4"/>
                    <w:left w:val="none" w:color="000000" w:sz="4"/>
                    <w:bottom w:val="single" w:color="000000" w:sz="4"/>
                    <w:right w:val="single" w:color="000000" w:sz="4"/>
                  </w:tcBorders>
                </w:tcPr>
                <w:p/>
              </w:tc>
              <w:tc>
                <w:tcPr>
                  <w:tcW w:type="dxa" w:w="28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区域接待分析</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客流监测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支持查看当日、历史日期维度查询：</w:t>
                  </w:r>
                  <w:r>
                    <w:br/>
                  </w:r>
                  <w:r>
                    <w:rPr>
                      <w:rFonts w:ascii="仿宋_GB2312" w:hAnsi="仿宋_GB2312" w:cs="仿宋_GB2312" w:eastAsia="仿宋_GB2312"/>
                      <w:sz w:val="21"/>
                      <w:color w:val="000000"/>
                    </w:rPr>
                    <w:t>当日数据支持每小时客流量、及趋势走势；</w:t>
                  </w:r>
                  <w:r>
                    <w:br/>
                  </w:r>
                  <w:r>
                    <w:rPr>
                      <w:rFonts w:ascii="仿宋_GB2312" w:hAnsi="仿宋_GB2312" w:cs="仿宋_GB2312" w:eastAsia="仿宋_GB2312"/>
                      <w:sz w:val="21"/>
                      <w:color w:val="000000"/>
                    </w:rPr>
                    <w:t>支持查看区域及下属区域的客流量；</w:t>
                  </w:r>
                  <w:r>
                    <w:br/>
                  </w:r>
                  <w:r>
                    <w:rPr>
                      <w:rFonts w:ascii="仿宋_GB2312" w:hAnsi="仿宋_GB2312" w:cs="仿宋_GB2312" w:eastAsia="仿宋_GB2312"/>
                      <w:sz w:val="21"/>
                      <w:color w:val="000000"/>
                    </w:rPr>
                    <w:t>历史日期支持查看接待总量、客流走势、客源地。</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15</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客流分析</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支持按日、周、月、季度、半年、年维度查询：</w:t>
                  </w:r>
                  <w:r>
                    <w:br/>
                  </w:r>
                  <w:r>
                    <w:rPr>
                      <w:rFonts w:ascii="仿宋_GB2312" w:hAnsi="仿宋_GB2312" w:cs="仿宋_GB2312" w:eastAsia="仿宋_GB2312"/>
                      <w:sz w:val="21"/>
                      <w:color w:val="000000"/>
                    </w:rPr>
                    <w:t>以迁徙图的方式，展示国内客源地的客流量分布情况；</w:t>
                  </w:r>
                  <w:r>
                    <w:br/>
                  </w:r>
                  <w:r>
                    <w:rPr>
                      <w:rFonts w:ascii="仿宋_GB2312" w:hAnsi="仿宋_GB2312" w:cs="仿宋_GB2312" w:eastAsia="仿宋_GB2312"/>
                      <w:sz w:val="21"/>
                      <w:color w:val="000000"/>
                    </w:rPr>
                    <w:t>展示区域接待总客流量及客流走势；</w:t>
                  </w:r>
                  <w:r>
                    <w:br/>
                  </w:r>
                  <w:r>
                    <w:rPr>
                      <w:rFonts w:ascii="仿宋_GB2312" w:hAnsi="仿宋_GB2312" w:cs="仿宋_GB2312" w:eastAsia="仿宋_GB2312"/>
                      <w:sz w:val="21"/>
                      <w:color w:val="000000"/>
                    </w:rPr>
                    <w:t>支持查看游客用户画像：逗留时长、游客旅游半径分析、游览城市分析、夜游情况分析。</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16</w:t>
                  </w:r>
                </w:p>
              </w:tc>
              <w:tc>
                <w:tcPr>
                  <w:tcW w:type="dxa" w:w="410"/>
                  <w:vMerge/>
                  <w:tcBorders>
                    <w:top w:val="none" w:color="000000" w:sz="4"/>
                    <w:left w:val="none" w:color="000000" w:sz="4"/>
                    <w:bottom w:val="single" w:color="000000" w:sz="4"/>
                    <w:right w:val="single" w:color="000000" w:sz="4"/>
                  </w:tcBorders>
                </w:tcPr>
                <w:p/>
              </w:tc>
              <w:tc>
                <w:tcPr>
                  <w:tcW w:type="dxa" w:w="28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文旅网评监测</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网评统计</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展示网评信息的数据量统计、正面、中立、负面</w:t>
                  </w:r>
                  <w:r>
                    <w:rPr>
                      <w:rFonts w:ascii="仿宋_GB2312" w:hAnsi="仿宋_GB2312" w:cs="仿宋_GB2312" w:eastAsia="仿宋_GB2312"/>
                      <w:sz w:val="21"/>
                      <w:color w:val="000000"/>
                    </w:rPr>
                    <w:t>网评</w:t>
                  </w:r>
                  <w:r>
                    <w:rPr>
                      <w:rFonts w:ascii="仿宋_GB2312" w:hAnsi="仿宋_GB2312" w:cs="仿宋_GB2312" w:eastAsia="仿宋_GB2312"/>
                      <w:sz w:val="21"/>
                      <w:color w:val="000000"/>
                    </w:rPr>
                    <w:t>统计；</w:t>
                  </w:r>
                  <w:r>
                    <w:br/>
                  </w:r>
                  <w:r>
                    <w:rPr>
                      <w:rFonts w:ascii="仿宋_GB2312" w:hAnsi="仿宋_GB2312" w:cs="仿宋_GB2312" w:eastAsia="仿宋_GB2312"/>
                      <w:sz w:val="21"/>
                      <w:color w:val="000000"/>
                    </w:rPr>
                    <w:t>展示网评地域分布概况；</w:t>
                  </w:r>
                  <w:r>
                    <w:br/>
                  </w:r>
                  <w:r>
                    <w:rPr>
                      <w:rFonts w:ascii="仿宋_GB2312" w:hAnsi="仿宋_GB2312" w:cs="仿宋_GB2312" w:eastAsia="仿宋_GB2312"/>
                      <w:sz w:val="21"/>
                      <w:color w:val="000000"/>
                    </w:rPr>
                    <w:t>展示网评热词分布；</w:t>
                  </w:r>
                  <w:r>
                    <w:br/>
                  </w:r>
                  <w:r>
                    <w:rPr>
                      <w:rFonts w:ascii="仿宋_GB2312" w:hAnsi="仿宋_GB2312" w:cs="仿宋_GB2312" w:eastAsia="仿宋_GB2312"/>
                      <w:sz w:val="21"/>
                      <w:color w:val="000000"/>
                    </w:rPr>
                    <w:t>展示媒体渠道的数据量统计、趋势走势；</w:t>
                  </w:r>
                  <w:r>
                    <w:br/>
                  </w:r>
                  <w:r>
                    <w:rPr>
                      <w:rFonts w:ascii="仿宋_GB2312" w:hAnsi="仿宋_GB2312" w:cs="仿宋_GB2312" w:eastAsia="仿宋_GB2312"/>
                      <w:sz w:val="21"/>
                      <w:color w:val="000000"/>
                    </w:rPr>
                    <w:t>展示媒体占比统计；</w:t>
                  </w:r>
                  <w:r>
                    <w:br/>
                  </w:r>
                  <w:r>
                    <w:rPr>
                      <w:rFonts w:ascii="仿宋_GB2312" w:hAnsi="仿宋_GB2312" w:cs="仿宋_GB2312" w:eastAsia="仿宋_GB2312"/>
                      <w:sz w:val="21"/>
                      <w:color w:val="000000"/>
                    </w:rPr>
                    <w:t>展示网评情绪分布（敏感、非敏感、中性）</w:t>
                  </w:r>
                  <w:r>
                    <w:br/>
                  </w:r>
                  <w:r>
                    <w:rPr>
                      <w:rFonts w:ascii="仿宋_GB2312" w:hAnsi="仿宋_GB2312" w:cs="仿宋_GB2312" w:eastAsia="仿宋_GB2312"/>
                      <w:sz w:val="21"/>
                      <w:color w:val="000000"/>
                    </w:rPr>
                    <w:t>展示网评情绪走势；</w:t>
                  </w:r>
                  <w:r>
                    <w:br/>
                  </w:r>
                  <w:r>
                    <w:rPr>
                      <w:rFonts w:ascii="仿宋_GB2312" w:hAnsi="仿宋_GB2312" w:cs="仿宋_GB2312" w:eastAsia="仿宋_GB2312"/>
                      <w:sz w:val="21"/>
                      <w:color w:val="000000"/>
                    </w:rPr>
                    <w:t>最新敏感文章、热门文章。</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网评监测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支持网评监测内容的列表查看；</w:t>
                  </w:r>
                  <w:r>
                    <w:br/>
                  </w:r>
                  <w:r>
                    <w:rPr>
                      <w:rFonts w:ascii="仿宋_GB2312" w:hAnsi="仿宋_GB2312" w:cs="仿宋_GB2312" w:eastAsia="仿宋_GB2312"/>
                      <w:sz w:val="21"/>
                      <w:color w:val="000000"/>
                    </w:rPr>
                    <w:t>支持监测时间、监测区域、情感属性、媒体属性等筛选条件；</w:t>
                  </w:r>
                  <w:r>
                    <w:br/>
                  </w:r>
                  <w:r>
                    <w:rPr>
                      <w:rFonts w:ascii="仿宋_GB2312" w:hAnsi="仿宋_GB2312" w:cs="仿宋_GB2312" w:eastAsia="仿宋_GB2312"/>
                      <w:sz w:val="21"/>
                      <w:color w:val="000000"/>
                    </w:rPr>
                    <w:t>支持时间降序、权重降序、转载降序等排序条件；</w:t>
                  </w:r>
                  <w:r>
                    <w:br/>
                  </w:r>
                  <w:r>
                    <w:rPr>
                      <w:rFonts w:ascii="仿宋_GB2312" w:hAnsi="仿宋_GB2312" w:cs="仿宋_GB2312" w:eastAsia="仿宋_GB2312"/>
                      <w:sz w:val="21"/>
                      <w:color w:val="000000"/>
                    </w:rPr>
                    <w:t>支持文章详情查看等操作。</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18</w:t>
                  </w:r>
                </w:p>
              </w:tc>
              <w:tc>
                <w:tcPr>
                  <w:tcW w:type="dxa" w:w="410"/>
                  <w:vMerge/>
                  <w:tcBorders>
                    <w:top w:val="none" w:color="000000" w:sz="4"/>
                    <w:left w:val="none" w:color="000000" w:sz="4"/>
                    <w:bottom w:val="single" w:color="000000" w:sz="4"/>
                    <w:right w:val="single" w:color="000000" w:sz="4"/>
                  </w:tcBorders>
                </w:tcPr>
                <w:p/>
              </w:tc>
              <w:tc>
                <w:tcPr>
                  <w:tcW w:type="dxa" w:w="28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消费数据分析</w:t>
                  </w: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总体分析</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支持日、月、年维度数据查询及明细导出；</w:t>
                  </w:r>
                  <w:r>
                    <w:br/>
                  </w:r>
                  <w:r>
                    <w:rPr>
                      <w:rFonts w:ascii="仿宋_GB2312" w:hAnsi="仿宋_GB2312" w:cs="仿宋_GB2312" w:eastAsia="仿宋_GB2312"/>
                      <w:sz w:val="21"/>
                      <w:color w:val="000000"/>
                    </w:rPr>
                    <w:t>支持查看文旅消费概况：消费总额、消费笔数、消费人次等；</w:t>
                  </w:r>
                  <w:r>
                    <w:br/>
                  </w:r>
                  <w:r>
                    <w:rPr>
                      <w:rFonts w:ascii="仿宋_GB2312" w:hAnsi="仿宋_GB2312" w:cs="仿宋_GB2312" w:eastAsia="仿宋_GB2312"/>
                      <w:sz w:val="21"/>
                      <w:color w:val="000000"/>
                    </w:rPr>
                    <w:t>支持消费金额、消费人次的全天、夜间趋势分析；</w:t>
                  </w:r>
                  <w:r>
                    <w:br/>
                  </w:r>
                  <w:r>
                    <w:rPr>
                      <w:rFonts w:ascii="仿宋_GB2312" w:hAnsi="仿宋_GB2312" w:cs="仿宋_GB2312" w:eastAsia="仿宋_GB2312"/>
                      <w:sz w:val="21"/>
                      <w:color w:val="000000"/>
                    </w:rPr>
                    <w:t>支持下属区域的消费排行及占比查询。</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19</w:t>
                  </w:r>
                </w:p>
              </w:tc>
              <w:tc>
                <w:tcPr>
                  <w:tcW w:type="dxa" w:w="410"/>
                  <w:vMerge/>
                  <w:tcBorders>
                    <w:top w:val="none" w:color="000000" w:sz="4"/>
                    <w:left w:val="none" w:color="000000" w:sz="4"/>
                    <w:bottom w:val="single" w:color="000000" w:sz="4"/>
                    <w:right w:val="single" w:color="000000" w:sz="4"/>
                  </w:tcBorders>
                </w:tcPr>
                <w:p/>
              </w:tc>
              <w:tc>
                <w:tcPr>
                  <w:tcW w:type="dxa" w:w="280"/>
                  <w:vMerge/>
                  <w:tcBorders>
                    <w:top w:val="none" w:color="000000" w:sz="4"/>
                    <w:left w:val="none" w:color="000000" w:sz="4"/>
                    <w:bottom w:val="single" w:color="000000" w:sz="4"/>
                    <w:right w:val="single" w:color="000000" w:sz="4"/>
                  </w:tcBorders>
                </w:tcPr>
                <w:p/>
              </w:tc>
              <w:tc>
                <w:tcPr>
                  <w:tcW w:type="dxa" w:w="23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行业分析</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支持日、月、年维度数据查询及明细导出；</w:t>
                  </w:r>
                  <w:r>
                    <w:br/>
                  </w:r>
                  <w:r>
                    <w:rPr>
                      <w:rFonts w:ascii="仿宋_GB2312" w:hAnsi="仿宋_GB2312" w:cs="仿宋_GB2312" w:eastAsia="仿宋_GB2312"/>
                      <w:sz w:val="21"/>
                      <w:color w:val="000000"/>
                    </w:rPr>
                    <w:t>支持查看文旅消费及吃住行游购娱行业消费数据查询；</w:t>
                  </w:r>
                  <w:r>
                    <w:br/>
                  </w:r>
                  <w:r>
                    <w:rPr>
                      <w:rFonts w:ascii="仿宋_GB2312" w:hAnsi="仿宋_GB2312" w:cs="仿宋_GB2312" w:eastAsia="仿宋_GB2312"/>
                      <w:sz w:val="21"/>
                      <w:color w:val="000000"/>
                    </w:rPr>
                    <w:t>支持吃住行游购娱对比、占比、趋势分析。</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文旅行业报告</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资源专项报告、行业监测报告：</w:t>
                  </w:r>
                  <w:r>
                    <w:br/>
                  </w:r>
                  <w:r>
                    <w:rPr>
                      <w:rFonts w:ascii="仿宋_GB2312" w:hAnsi="仿宋_GB2312" w:cs="仿宋_GB2312" w:eastAsia="仿宋_GB2312"/>
                      <w:sz w:val="21"/>
                      <w:color w:val="000000"/>
                    </w:rPr>
                    <w:t>1.按年、季度、月、节假日等定时生成系统的专项报告；</w:t>
                  </w:r>
                  <w:r>
                    <w:br/>
                  </w:r>
                  <w:r>
                    <w:rPr>
                      <w:rFonts w:ascii="仿宋_GB2312" w:hAnsi="仿宋_GB2312" w:cs="仿宋_GB2312" w:eastAsia="仿宋_GB2312"/>
                      <w:sz w:val="21"/>
                      <w:color w:val="000000"/>
                    </w:rPr>
                    <w:t>2.报告格式支持PDF、word格式。</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21</w:t>
                  </w:r>
                </w:p>
              </w:tc>
              <w:tc>
                <w:tcPr>
                  <w:tcW w:type="dxa" w:w="410"/>
                  <w:vMerge w:val="restart"/>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市县一体化县域模块</w:t>
                  </w: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文旅基础资源</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22</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景区运行监测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23</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酒店运行监测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视频监控调阅</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区域接待分析</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26</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文旅网评监测</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27</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联席视频会议</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28</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文旅行业报告</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29</w:t>
                  </w:r>
                </w:p>
              </w:tc>
              <w:tc>
                <w:tcPr>
                  <w:tcW w:type="dxa" w:w="410"/>
                  <w:vMerge/>
                  <w:tcBorders>
                    <w:top w:val="none" w:color="000000" w:sz="4"/>
                    <w:left w:val="none" w:color="000000" w:sz="4"/>
                    <w:bottom w:val="single" w:color="000000" w:sz="4"/>
                    <w:right w:val="single" w:color="000000" w:sz="4"/>
                  </w:tcBorders>
                </w:tcP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应急指挥调度</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应用权限划分及数据展示级别分配</w:t>
                  </w:r>
                </w:p>
              </w:tc>
            </w:tr>
            <w:tr>
              <w:tc>
                <w:tcPr>
                  <w:tcW w:type="dxa" w:w="1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30</w:t>
                  </w:r>
                </w:p>
              </w:tc>
              <w:tc>
                <w:tcPr>
                  <w:tcW w:type="dxa" w:w="41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系统适配</w:t>
                  </w:r>
                </w:p>
              </w:tc>
              <w:tc>
                <w:tcPr>
                  <w:tcW w:type="dxa" w:w="514"/>
                  <w:gridSpan w:val="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政务云适配</w:t>
                  </w:r>
                </w:p>
              </w:tc>
              <w:tc>
                <w:tcPr>
                  <w:tcW w:type="dxa" w:w="1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适配政务云平台操作系统及数据库</w:t>
                  </w:r>
                </w:p>
              </w:tc>
            </w:tr>
          </w:tbl>
          <w:p>
            <w:pPr>
              <w:pStyle w:val="null3"/>
              <w:jc w:val="both"/>
            </w:pPr>
            <w:r>
              <w:rPr>
                <w:rFonts w:ascii="仿宋_GB2312" w:hAnsi="仿宋_GB2312" w:cs="仿宋_GB2312" w:eastAsia="仿宋_GB2312"/>
              </w:rPr>
              <w:t xml:space="preserve"> </w:t>
            </w:r>
          </w:p>
          <w:p>
            <w:pPr>
              <w:pStyle w:val="null3"/>
              <w:numPr>
                <w:ilvl w:val="0"/>
                <w:numId w:val="1"/>
              </w:numPr>
              <w:jc w:val="center"/>
            </w:pPr>
            <w:r>
              <w:rPr>
                <w:rFonts w:ascii="仿宋_GB2312" w:hAnsi="仿宋_GB2312" w:cs="仿宋_GB2312" w:eastAsia="仿宋_GB2312"/>
                <w:sz w:val="24"/>
              </w:rPr>
              <w:t>文旅产业运行监测平台移动端建设内容</w:t>
            </w:r>
            <w:r>
              <w:rPr>
                <w:rFonts w:ascii="仿宋_GB2312" w:hAnsi="仿宋_GB2312" w:cs="仿宋_GB2312" w:eastAsia="仿宋_GB2312"/>
                <w:sz w:val="24"/>
              </w:rPr>
              <w:t>清单</w:t>
            </w:r>
          </w:p>
          <w:tbl>
            <w:tblPr>
              <w:tblBorders>
                <w:top w:val="none" w:color="000000" w:sz="4"/>
                <w:left w:val="none" w:color="000000" w:sz="4"/>
                <w:bottom w:val="none" w:color="000000" w:sz="4"/>
                <w:right w:val="none" w:color="000000" w:sz="4"/>
                <w:insideH w:val="none"/>
                <w:insideV w:val="none"/>
              </w:tblBorders>
            </w:tblPr>
            <w:tblGrid>
              <w:gridCol w:w="211"/>
              <w:gridCol w:w="828"/>
              <w:gridCol w:w="1513"/>
            </w:tblGrid>
            <w:tr>
              <w:tc>
                <w:tcPr>
                  <w:tcW w:type="dxa" w:w="211"/>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序号</w:t>
                  </w:r>
                </w:p>
              </w:tc>
              <w:tc>
                <w:tcPr>
                  <w:tcW w:type="dxa" w:w="8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功能板块</w:t>
                  </w:r>
                </w:p>
              </w:tc>
              <w:tc>
                <w:tcPr>
                  <w:tcW w:type="dxa" w:w="1513"/>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262626"/>
                    </w:rPr>
                    <w:t>功能明细</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首页</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小程序主页面，提供区域客流、功能入口、景区客流量、吸底导航；</w:t>
                  </w:r>
                  <w:r>
                    <w:br/>
                  </w:r>
                  <w:r>
                    <w:rPr>
                      <w:rFonts w:ascii="仿宋_GB2312" w:hAnsi="仿宋_GB2312" w:cs="仿宋_GB2312" w:eastAsia="仿宋_GB2312"/>
                      <w:sz w:val="21"/>
                      <w:color w:val="262626"/>
                    </w:rPr>
                    <w:t>1.区域客流展示实时客流量、趋势、当日累计客流、昨日累计客流；</w:t>
                  </w:r>
                  <w:r>
                    <w:br/>
                  </w:r>
                  <w:r>
                    <w:rPr>
                      <w:rFonts w:ascii="仿宋_GB2312" w:hAnsi="仿宋_GB2312" w:cs="仿宋_GB2312" w:eastAsia="仿宋_GB2312"/>
                      <w:sz w:val="21"/>
                      <w:color w:val="262626"/>
                    </w:rPr>
                    <w:t>2.功能入口：旅游资源、客流监测、景区运行、网评监测、消费分析；</w:t>
                  </w:r>
                  <w:r>
                    <w:br/>
                  </w:r>
                  <w:r>
                    <w:rPr>
                      <w:rFonts w:ascii="仿宋_GB2312" w:hAnsi="仿宋_GB2312" w:cs="仿宋_GB2312" w:eastAsia="仿宋_GB2312"/>
                      <w:sz w:val="21"/>
                      <w:color w:val="262626"/>
                    </w:rPr>
                    <w:t>3.景区客流量：展示区域内景区饱和状态、实时客流量；</w:t>
                  </w:r>
                  <w:r>
                    <w:br/>
                  </w:r>
                  <w:r>
                    <w:rPr>
                      <w:rFonts w:ascii="仿宋_GB2312" w:hAnsi="仿宋_GB2312" w:cs="仿宋_GB2312" w:eastAsia="仿宋_GB2312"/>
                      <w:sz w:val="21"/>
                      <w:color w:val="262626"/>
                    </w:rPr>
                    <w:t>4.吸底导航：主要功能页面导航（首页、视频监控、我的）。</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文旅资源</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对辖区内的文旅资源进行</w:t>
                  </w:r>
                  <w:r>
                    <w:rPr>
                      <w:rFonts w:ascii="仿宋_GB2312" w:hAnsi="仿宋_GB2312" w:cs="仿宋_GB2312" w:eastAsia="仿宋_GB2312"/>
                      <w:sz w:val="21"/>
                      <w:color w:val="262626"/>
                    </w:rPr>
                    <w:t>Gis地图展示：</w:t>
                  </w:r>
                  <w:r>
                    <w:br/>
                  </w:r>
                  <w:r>
                    <w:rPr>
                      <w:rFonts w:ascii="仿宋_GB2312" w:hAnsi="仿宋_GB2312" w:cs="仿宋_GB2312" w:eastAsia="仿宋_GB2312"/>
                      <w:sz w:val="21"/>
                      <w:color w:val="262626"/>
                    </w:rPr>
                    <w:t>A级景区、休闲街区、旅游度假区、乡村旅游重点村、图书馆、博物馆、美术馆、文化馆、文化站；</w:t>
                  </w:r>
                  <w:r>
                    <w:br/>
                  </w:r>
                  <w:r>
                    <w:rPr>
                      <w:rFonts w:ascii="仿宋_GB2312" w:hAnsi="仿宋_GB2312" w:cs="仿宋_GB2312" w:eastAsia="仿宋_GB2312"/>
                      <w:sz w:val="21"/>
                      <w:color w:val="262626"/>
                    </w:rPr>
                    <w:t>支持点击点位查看详细信息。</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客流监测</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主要展示区域内客流数据情况：</w:t>
                  </w:r>
                  <w:r>
                    <w:br/>
                  </w:r>
                  <w:r>
                    <w:rPr>
                      <w:rFonts w:ascii="仿宋_GB2312" w:hAnsi="仿宋_GB2312" w:cs="仿宋_GB2312" w:eastAsia="仿宋_GB2312"/>
                      <w:sz w:val="21"/>
                      <w:color w:val="262626"/>
                    </w:rPr>
                    <w:t>1.支持区域游客总数、趋势查询；</w:t>
                  </w:r>
                  <w:r>
                    <w:br/>
                  </w:r>
                  <w:r>
                    <w:rPr>
                      <w:rFonts w:ascii="仿宋_GB2312" w:hAnsi="仿宋_GB2312" w:cs="仿宋_GB2312" w:eastAsia="仿宋_GB2312"/>
                      <w:sz w:val="21"/>
                      <w:color w:val="262626"/>
                    </w:rPr>
                    <w:t>2.支持游客用户画像：逗留时长、游客旅游半径分析、游览城市分析、夜游情况分析；</w:t>
                  </w:r>
                  <w:r>
                    <w:br/>
                  </w:r>
                  <w:r>
                    <w:rPr>
                      <w:rFonts w:ascii="仿宋_GB2312" w:hAnsi="仿宋_GB2312" w:cs="仿宋_GB2312" w:eastAsia="仿宋_GB2312"/>
                      <w:sz w:val="21"/>
                      <w:color w:val="262626"/>
                    </w:rPr>
                    <w:t>3.支持游客客源地分析排行展示。</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网评分析</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主要展示景区、酒店</w:t>
                  </w:r>
                  <w:r>
                    <w:rPr>
                      <w:rFonts w:ascii="仿宋_GB2312" w:hAnsi="仿宋_GB2312" w:cs="仿宋_GB2312" w:eastAsia="仿宋_GB2312"/>
                      <w:sz w:val="21"/>
                      <w:color w:val="262626"/>
                    </w:rPr>
                    <w:t>OTA网评概况：</w:t>
                  </w:r>
                  <w:r>
                    <w:br/>
                  </w:r>
                  <w:r>
                    <w:rPr>
                      <w:rFonts w:ascii="仿宋_GB2312" w:hAnsi="仿宋_GB2312" w:cs="仿宋_GB2312" w:eastAsia="仿宋_GB2312"/>
                      <w:sz w:val="21"/>
                      <w:color w:val="262626"/>
                    </w:rPr>
                    <w:t>1.支持网评总数、正面、中立、负面分布概况；</w:t>
                  </w:r>
                  <w:r>
                    <w:br/>
                  </w:r>
                  <w:r>
                    <w:rPr>
                      <w:rFonts w:ascii="仿宋_GB2312" w:hAnsi="仿宋_GB2312" w:cs="仿宋_GB2312" w:eastAsia="仿宋_GB2312"/>
                      <w:sz w:val="21"/>
                      <w:color w:val="262626"/>
                    </w:rPr>
                    <w:t>2.支持景区评论总数TOP10查询；</w:t>
                  </w:r>
                  <w:r>
                    <w:br/>
                  </w:r>
                  <w:r>
                    <w:rPr>
                      <w:rFonts w:ascii="仿宋_GB2312" w:hAnsi="仿宋_GB2312" w:cs="仿宋_GB2312" w:eastAsia="仿宋_GB2312"/>
                      <w:sz w:val="21"/>
                      <w:color w:val="262626"/>
                    </w:rPr>
                    <w:t>3.支持评论满意度分析、满意度走势、评论红榜、黑榜；</w:t>
                  </w:r>
                  <w:r>
                    <w:br/>
                  </w:r>
                  <w:r>
                    <w:rPr>
                      <w:rFonts w:ascii="仿宋_GB2312" w:hAnsi="仿宋_GB2312" w:cs="仿宋_GB2312" w:eastAsia="仿宋_GB2312"/>
                      <w:sz w:val="21"/>
                      <w:color w:val="262626"/>
                    </w:rPr>
                    <w:t>4.评论量趋势、正面评论趋势、负面评论趋势。</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网评监测</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主要分为网评监测、网评分析：</w:t>
                  </w:r>
                  <w:r>
                    <w:br/>
                  </w:r>
                  <w:r>
                    <w:rPr>
                      <w:rFonts w:ascii="仿宋_GB2312" w:hAnsi="仿宋_GB2312" w:cs="仿宋_GB2312" w:eastAsia="仿宋_GB2312"/>
                      <w:sz w:val="21"/>
                      <w:color w:val="262626"/>
                    </w:rPr>
                    <w:t>1、网评监测：展示网评数据，支持不同条件的筛选查询展示；</w:t>
                  </w:r>
                  <w:r>
                    <w:br/>
                  </w:r>
                  <w:r>
                    <w:rPr>
                      <w:rFonts w:ascii="仿宋_GB2312" w:hAnsi="仿宋_GB2312" w:cs="仿宋_GB2312" w:eastAsia="仿宋_GB2312"/>
                      <w:sz w:val="21"/>
                      <w:color w:val="262626"/>
                    </w:rPr>
                    <w:t>2、网评分析：热门文章、最新敏感文章、相关热词、正面中立负面网评趋势、渠道分布等。</w:t>
                  </w:r>
                </w:p>
              </w:tc>
            </w:tr>
            <w:tr>
              <w:tc>
                <w:tcPr>
                  <w:tcW w:type="dxa" w:w="2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8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262626"/>
                    </w:rPr>
                    <w:t>消费分析</w:t>
                  </w:r>
                </w:p>
              </w:tc>
              <w:tc>
                <w:tcPr>
                  <w:tcW w:type="dxa" w:w="151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262626"/>
                    </w:rPr>
                    <w:t>支持日、月、年维度数据查询；</w:t>
                  </w:r>
                  <w:r>
                    <w:br/>
                  </w:r>
                  <w:r>
                    <w:rPr>
                      <w:rFonts w:ascii="仿宋_GB2312" w:hAnsi="仿宋_GB2312" w:cs="仿宋_GB2312" w:eastAsia="仿宋_GB2312"/>
                      <w:sz w:val="21"/>
                      <w:color w:val="262626"/>
                    </w:rPr>
                    <w:t>支持查看文旅消费概况：消费总额、消费笔数、消费人次等；</w:t>
                  </w:r>
                  <w:r>
                    <w:br/>
                  </w:r>
                  <w:r>
                    <w:rPr>
                      <w:rFonts w:ascii="仿宋_GB2312" w:hAnsi="仿宋_GB2312" w:cs="仿宋_GB2312" w:eastAsia="仿宋_GB2312"/>
                      <w:sz w:val="21"/>
                      <w:color w:val="262626"/>
                    </w:rPr>
                    <w:t>支持消费金额、消费人次的全天、夜间趋势分析；</w:t>
                  </w:r>
                  <w:r>
                    <w:br/>
                  </w:r>
                  <w:r>
                    <w:rPr>
                      <w:rFonts w:ascii="仿宋_GB2312" w:hAnsi="仿宋_GB2312" w:cs="仿宋_GB2312" w:eastAsia="仿宋_GB2312"/>
                      <w:sz w:val="21"/>
                      <w:color w:val="262626"/>
                    </w:rPr>
                    <w:t>支持下属区域的消费排行及占比查询。</w:t>
                  </w:r>
                  <w:r>
                    <w:br/>
                  </w:r>
                  <w:r>
                    <w:rPr>
                      <w:rFonts w:ascii="仿宋_GB2312" w:hAnsi="仿宋_GB2312" w:cs="仿宋_GB2312" w:eastAsia="仿宋_GB2312"/>
                      <w:sz w:val="21"/>
                      <w:color w:val="262626"/>
                    </w:rPr>
                    <w:t>支持日、月、年维度数据查询；</w:t>
                  </w:r>
                  <w:r>
                    <w:br/>
                  </w:r>
                  <w:r>
                    <w:rPr>
                      <w:rFonts w:ascii="仿宋_GB2312" w:hAnsi="仿宋_GB2312" w:cs="仿宋_GB2312" w:eastAsia="仿宋_GB2312"/>
                      <w:sz w:val="21"/>
                      <w:color w:val="262626"/>
                    </w:rPr>
                    <w:t>支持查看文旅消费及吃住行游购娱行业消费数据查询；</w:t>
                  </w:r>
                  <w:r>
                    <w:br/>
                  </w:r>
                  <w:r>
                    <w:rPr>
                      <w:rFonts w:ascii="仿宋_GB2312" w:hAnsi="仿宋_GB2312" w:cs="仿宋_GB2312" w:eastAsia="仿宋_GB2312"/>
                      <w:sz w:val="21"/>
                      <w:color w:val="262626"/>
                    </w:rPr>
                    <w:t>支持吃住行游购娱对比分析。</w:t>
                  </w:r>
                </w:p>
              </w:tc>
            </w:tr>
          </w:tbl>
          <w:p>
            <w:pPr>
              <w:pStyle w:val="null3"/>
              <w:jc w:val="both"/>
            </w:pP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满足项目实施需求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满足项目实施需求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45日历天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45日历天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1、国家、省市相关规范及其他相关专业现行规范； 2、采购文件及合同要求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1、国家、省市相关规范及其他相关专业现行规范； 2、采购文件及合同规定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中期验收合格后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交付验收合格后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双方友好协商，协商不成可向项目所在地人民法院起诉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双方友好协商，协商不成可向项目所在地人民法院起诉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中小企业采购声明函；供应商需在项目电子化交易系统中按要求上传相应证明文件并进行电子签章。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供应商应具有独立承担民事责任的能力且具备向采购人提供相关服务的企业法人、事业法人、其他组织或自然人</w:t>
            </w:r>
          </w:p>
        </w:tc>
        <w:tc>
          <w:tcPr>
            <w:tcW w:type="dxa" w:w="3322"/>
          </w:tcPr>
          <w:p>
            <w:pPr>
              <w:pStyle w:val="null3"/>
            </w:pPr>
            <w:r>
              <w:rPr>
                <w:rFonts w:ascii="仿宋_GB2312" w:hAnsi="仿宋_GB2312" w:cs="仿宋_GB2312" w:eastAsia="仿宋_GB2312"/>
              </w:rPr>
              <w:t>企业法人应提供具有统一社会信用代码的营业执照证明文件；事业法人应提供事业单位法人证、组织机构代码证等证明文件；其他组织应提供合法证明文件；自然人提供身份证明文件；供应商需在项目电子化交易系统中按要求上传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被授权人须本单位在职人员，并提供供应商单位近3个月内任意一个月缴纳的养老保险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提供2024年度的财务审计报告</w:t>
            </w:r>
          </w:p>
        </w:tc>
        <w:tc>
          <w:tcPr>
            <w:tcW w:type="dxa" w:w="3322"/>
          </w:tcPr>
          <w:p>
            <w:pPr>
              <w:pStyle w:val="null3"/>
            </w:pPr>
            <w:r>
              <w:rPr>
                <w:rFonts w:ascii="仿宋_GB2312" w:hAnsi="仿宋_GB2312" w:cs="仿宋_GB2312" w:eastAsia="仿宋_GB2312"/>
              </w:rPr>
              <w:t>提供2024年度的财务审计报告（至少包括资产负债表和利润表，成立时间至提交响应文件截止时间不足一年的可提供成立后任意时段的资产负债表）或开标时间前六个月内银行出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提供投标截止日前近一年内任意一个月的纳税证明或完税证明（任意税种），依法免税的单位应提供相关证明材料；供应商需在项目电子化交易系统中按要求上传相应证明文件并进行电子签章。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截止日前近一年内任意一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专业技术能力的说明及承诺书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信用中国”网站（www.creditchina.gov.cn）列入失信被执行人（页面跳转至“中国执行信息公开网”http://zxgk.court.gov.cn/shixin/）和重大税收违法失信主体，未被中国政府采购网（www.ccgp.gov.cn）列入政府采购严重违法失信行为记录名单；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无违法情况说明</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不接受联合体投标</w:t>
            </w:r>
          </w:p>
        </w:tc>
        <w:tc>
          <w:tcPr>
            <w:tcW w:type="dxa" w:w="3322"/>
          </w:tcPr>
          <w:p>
            <w:pPr>
              <w:pStyle w:val="null3"/>
            </w:pPr>
            <w:r>
              <w:rPr>
                <w:rFonts w:ascii="仿宋_GB2312" w:hAnsi="仿宋_GB2312" w:cs="仿宋_GB2312" w:eastAsia="仿宋_GB2312"/>
              </w:rPr>
              <w:t>本项目不接受联合体投标（提供承诺书）；供应商需在项目电子化交易系统中按要求上传相应证明文件并进行电子签章。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非专门面向中小企业采购</w:t>
            </w:r>
          </w:p>
        </w:tc>
        <w:tc>
          <w:tcPr>
            <w:tcW w:type="dxa" w:w="3322"/>
          </w:tcPr>
          <w:p>
            <w:pPr>
              <w:pStyle w:val="null3"/>
            </w:pPr>
            <w:r>
              <w:rPr>
                <w:rFonts w:ascii="仿宋_GB2312" w:hAnsi="仿宋_GB2312" w:cs="仿宋_GB2312" w:eastAsia="仿宋_GB2312"/>
              </w:rPr>
              <w:t>中小企业声明函；供应商需在项目电子化交易系统中按要求上传相应证明文件并进行电子签章。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供应商资格证明文件.docx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采购项目需要落实的政府采购政策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采购项目需要落实的政府采购政策</w:t>
            </w:r>
          </w:p>
        </w:tc>
        <w:tc>
          <w:tcPr>
            <w:tcW w:type="dxa" w:w="3322"/>
          </w:tcPr>
          <w:p>
            <w:pPr>
              <w:pStyle w:val="null3"/>
            </w:pPr>
            <w:r>
              <w:rPr>
                <w:rFonts w:ascii="仿宋_GB2312" w:hAnsi="仿宋_GB2312" w:cs="仿宋_GB2312" w:eastAsia="仿宋_GB2312"/>
              </w:rPr>
              <w:t>（1）《政府采购促进中小企业发展管理办法》（财库〔2020〕46号）； （2）《财政部司法部关于政府采购支持监狱企业发展有关问题的通知》（财库〔2014〕68号）； （3）《关于促进残疾人就业政府采购政策的通知》（财库〔2017〕141号）； （4）《节能产品政府采购实施意见》（财库〔2004〕185号）； （5）《环境标志产品政府采购实施的意见》（财库〔2006〕90号）； （6）《国务院办公厅关于建立政府强制采购节能产品制度的通知》（国办发〔2007〕51号）； （7）财政部发展改革委生态环境部市场监管总局关于调整优化节能产品、环境标志产品政府采购执行机制的通知（财库〔2019〕9号）； （8）《关于印发环境标志产品政府采购品目清单的通知》（财库〔2019〕18号）； （9）《关于印发节能产品政府采购品目清单的通知》（财库〔2019〕19号）； （10）《关于发布参与实施政府采购节能产品、环境标志产品认证机构名录的公告》（2019年第16号)； （11）《关于运用政府采购政策支持乡村产业振兴的通知》（财库〔2021〕19号）； （12）陕西省财政厅关于印发《陕西省中小企业政府采购信用融资办法》（陕财办采〔2018〕23号），相关政策、业务流程、办理平台（详见http://www.ccgp-shaanxi.gov.cn/zcdservice/zcd/shanxi/）； （13）《陕西省财政厅关于加快推进我省中小企业政府采购信用融资工作的通知》（陕财办采〔2020〕15号）； （14）《关于进一步加强政府绿色采购有关问题的通知》（陕财办采〔2021〕29号）； （15）《陕西省财政厅陕西省工业和信息化厅关于运用政府采购政策支持首台（套）及创新产品有关事项的通知》（陕财办采〔2021〕17号）； （16）《关于进一步加大政府采购支持中小企业力度的通知》（财库〔2022〕19号）、《关于落实政府采购支持中小企业政策有关事项的通知》（陕财办采函〔2022〕10号）； （17）其他需要落实的政府采购政策。</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投标报价是固定价且唯一，不得提交选择性报价，且投标报价不得高于等于最高投标限价。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按照招标文件要求缴纳</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投标单位名称与营业执照等资料相一致</w:t>
            </w:r>
          </w:p>
        </w:tc>
        <w:tc>
          <w:tcPr>
            <w:tcW w:type="dxa" w:w="1661"/>
          </w:tcPr>
          <w:p>
            <w:pPr>
              <w:pStyle w:val="null3"/>
            </w:pPr>
            <w:r>
              <w:rPr>
                <w:rFonts w:ascii="仿宋_GB2312" w:hAnsi="仿宋_GB2312" w:cs="仿宋_GB2312" w:eastAsia="仿宋_GB2312"/>
              </w:rPr>
              <w:t>开标一览表 业绩.docx 售后服务方案.docx 中小企业声明函 项目开发团队.docx 商务应答表 软件方案设计.docx 实施部署.docx 投标函 残疾人福利性单位声明函 标的清单 投标文件封面 供应商资格证明文件.docx 需求理解.docx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业绩.docx 售后服务方案.docx 中小企业声明函 项目开发团队.docx 商务应答表 软件方案设计.docx 实施部署.docx 投标函 残疾人福利性单位声明函 标的清单 投标文件封面 供应商资格证明文件.docx 需求理解.docx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服务期限、投标有效期等符合采购文件要求</w:t>
            </w:r>
          </w:p>
        </w:tc>
        <w:tc>
          <w:tcPr>
            <w:tcW w:type="dxa" w:w="1661"/>
          </w:tcPr>
          <w:p>
            <w:pPr>
              <w:pStyle w:val="null3"/>
            </w:pPr>
            <w:r>
              <w:rPr>
                <w:rFonts w:ascii="仿宋_GB2312" w:hAnsi="仿宋_GB2312" w:cs="仿宋_GB2312" w:eastAsia="仿宋_GB2312"/>
              </w:rPr>
              <w:t>投标函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投标报价是固定价且唯一，不得提交选择性报价，且投标报价不得高于等于最高投标限价。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方案实施.docx 方案设计.docx 商务部分（团队成员）.docx 投标函 残疾人福利性单位声明函 标的清单 投标文件封面 供应商资格证明文件.docx 商务部分（认证证书）.docx 需求理解.docx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投标单位名称</w:t>
            </w:r>
          </w:p>
        </w:tc>
        <w:tc>
          <w:tcPr>
            <w:tcW w:type="dxa" w:w="3322"/>
          </w:tcPr>
          <w:p>
            <w:pPr>
              <w:pStyle w:val="null3"/>
            </w:pPr>
            <w:r>
              <w:rPr>
                <w:rFonts w:ascii="仿宋_GB2312" w:hAnsi="仿宋_GB2312" w:cs="仿宋_GB2312" w:eastAsia="仿宋_GB2312"/>
              </w:rPr>
              <w:t>投标单位名称应与营业执照等资料相一致</w:t>
            </w:r>
          </w:p>
        </w:tc>
        <w:tc>
          <w:tcPr>
            <w:tcW w:type="dxa" w:w="1661"/>
          </w:tcPr>
          <w:p>
            <w:pPr>
              <w:pStyle w:val="null3"/>
            </w:pPr>
            <w:r>
              <w:rPr>
                <w:rFonts w:ascii="仿宋_GB2312" w:hAnsi="仿宋_GB2312" w:cs="仿宋_GB2312" w:eastAsia="仿宋_GB2312"/>
              </w:rPr>
              <w:t>开标一览表 售后服务方案.docx 业绩.docx 培训方案.docx 中小企业声明函 商务应答表 方案实施.docx 方案设计.docx 商务部分（团队成员）.docx 投标函 残疾人福利性单位声明函 标的清单 投标文件封面 供应商资格证明文件.docx 商务部分（认证证书）.docx 需求理解.docx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按照招标文件要求缴纳</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w:t>
            </w:r>
          </w:p>
        </w:tc>
        <w:tc>
          <w:tcPr>
            <w:tcW w:type="dxa" w:w="3322"/>
          </w:tcPr>
          <w:p>
            <w:pPr>
              <w:pStyle w:val="null3"/>
            </w:pPr>
            <w:r>
              <w:rPr>
                <w:rFonts w:ascii="仿宋_GB2312" w:hAnsi="仿宋_GB2312" w:cs="仿宋_GB2312" w:eastAsia="仿宋_GB2312"/>
              </w:rPr>
              <w:t>服务期限、投标有效期等符合招标文件要求</w:t>
            </w:r>
          </w:p>
        </w:tc>
        <w:tc>
          <w:tcPr>
            <w:tcW w:type="dxa" w:w="1661"/>
          </w:tcPr>
          <w:p>
            <w:pPr>
              <w:pStyle w:val="null3"/>
            </w:pPr>
            <w:r>
              <w:rPr>
                <w:rFonts w:ascii="仿宋_GB2312" w:hAnsi="仿宋_GB2312" w:cs="仿宋_GB2312" w:eastAsia="仿宋_GB2312"/>
              </w:rPr>
              <w:t>投标函 商务应答表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需提供针对本次项目建设的理解，需对项目背景、目标、内容等进行阐述，形成项目理解概述。详细阐述本项目建设需求，对本项目要建设的文旅大数据管理平台、产业运行监测平台及移动端小程序等需求的理解进行描述，形成完整的阐述方案。 （1）所阐述的方案理解描述详细、准确，完全符合本次项目要求的，得（5-10］分； （2）所阐述的方案较为详细和准确，基本符合本次项目要求的， 得（3-5］分； （3）所阐述的方案不完整、可行性不高，不满足项目要求的，得 （0-3］分； （4）所阐述的方案很差或未提供的不得分。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需求理解.docx</w:t>
            </w:r>
          </w:p>
        </w:tc>
      </w:tr>
      <w:tr>
        <w:tc>
          <w:tcPr>
            <w:tcW w:type="dxa" w:w="831"/>
            <w:vMerge/>
          </w:tcPr>
          <w:p/>
        </w:tc>
        <w:tc>
          <w:tcPr>
            <w:tcW w:type="dxa" w:w="1661"/>
          </w:tcPr>
          <w:p>
            <w:pPr>
              <w:pStyle w:val="null3"/>
            </w:pPr>
            <w:r>
              <w:rPr>
                <w:rFonts w:ascii="仿宋_GB2312" w:hAnsi="仿宋_GB2312" w:cs="仿宋_GB2312" w:eastAsia="仿宋_GB2312"/>
              </w:rPr>
              <w:t>软件方案设计</w:t>
            </w:r>
          </w:p>
        </w:tc>
        <w:tc>
          <w:tcPr>
            <w:tcW w:type="dxa" w:w="2492"/>
          </w:tcPr>
          <w:p>
            <w:pPr>
              <w:pStyle w:val="null3"/>
            </w:pPr>
            <w:r>
              <w:rPr>
                <w:rFonts w:ascii="仿宋_GB2312" w:hAnsi="仿宋_GB2312" w:cs="仿宋_GB2312" w:eastAsia="仿宋_GB2312"/>
              </w:rPr>
              <w:t>投标人根据对本项目的理解提供完整的软件方案，具体包含登录、基础资源、监控管理、监测预警、数据管理、系统设置、系统适配 （1）方案设计描述详细、准确、满足本次服务要求的，得（20-25］分； （2）方案设计描述较为详细和准确，基本满足本次服务要求的， 得（10-20］分； （3）方案设计描述较差、不能完全满足本次服务要求的，得（0- 10］分； （4）未提供的不得分。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软件方案设计.docx</w:t>
            </w:r>
          </w:p>
        </w:tc>
      </w:tr>
      <w:tr>
        <w:tc>
          <w:tcPr>
            <w:tcW w:type="dxa" w:w="831"/>
            <w:vMerge/>
          </w:tcPr>
          <w:p/>
        </w:tc>
        <w:tc>
          <w:tcPr>
            <w:tcW w:type="dxa" w:w="1661"/>
          </w:tcPr>
          <w:p>
            <w:pPr>
              <w:pStyle w:val="null3"/>
            </w:pPr>
            <w:r>
              <w:rPr>
                <w:rFonts w:ascii="仿宋_GB2312" w:hAnsi="仿宋_GB2312" w:cs="仿宋_GB2312" w:eastAsia="仿宋_GB2312"/>
              </w:rPr>
              <w:t>实施部署</w:t>
            </w:r>
          </w:p>
        </w:tc>
        <w:tc>
          <w:tcPr>
            <w:tcW w:type="dxa" w:w="2492"/>
          </w:tcPr>
          <w:p>
            <w:pPr>
              <w:pStyle w:val="null3"/>
            </w:pPr>
            <w:r>
              <w:rPr>
                <w:rFonts w:ascii="仿宋_GB2312" w:hAnsi="仿宋_GB2312" w:cs="仿宋_GB2312" w:eastAsia="仿宋_GB2312"/>
              </w:rPr>
              <w:t>投标人针对本项目制定明确、切实可行的项目实施方案，（包括 但不限于提供项目人员组织管理、实施进度计划、进度保障措施 、质量保障措施、系统适配等内容进行评定。 （1）项目实施方案内容完善，且规划科学、合理，能保障项目顺 利实施的，得（10-15］分； （2）项目实施方案内容较完善，规划一般，基本能保障项目顺利 实施的，得（5-10］分； （3）项目实施方案内容不完善，规划较差，不能保障项目顺利实 施的，得（0-5］分； （4）项目实施方案很差或未提供实施方案的不得分。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实施部署.docx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提出完整的培训服务方案，包括培训承诺、培训内容等。 （1）具备完整的服务体系，方案内容完整，满足本次服务需求， 得（3-5］分； （2）服务方案较为完整，基本满足本次服务需求，得（1-3］分 ; （3）服务方案很差，得（0-1］分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、服务能力，服务内容、应急预案、质量保障措施等。 （1）具备完整的服务体系，方案内容完整，满足本次服务需求， 得（5-10］分； （2）服务方案较为完整，基本满足本次服务需求，得（3-5］分 ; （3）服务方案不完整，不能完全满足本次服务需求，得（0-3］ 分； （4）服务方案很差或未提供的不得分。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项目开发团队成员</w:t>
            </w:r>
          </w:p>
        </w:tc>
        <w:tc>
          <w:tcPr>
            <w:tcW w:type="dxa" w:w="2492"/>
          </w:tcPr>
          <w:p>
            <w:pPr>
              <w:pStyle w:val="null3"/>
            </w:pPr>
            <w:r>
              <w:rPr>
                <w:rFonts w:ascii="仿宋_GB2312" w:hAnsi="仿宋_GB2312" w:cs="仿宋_GB2312" w:eastAsia="仿宋_GB2312"/>
              </w:rPr>
              <w:t>1、拟派项目组织机构设置合理，具备承担软件开发设计、软件架构、信息安全、软件测评的专业技术人员，根据配备的人员数量、专业、资格及职位安排等进行比较。配备人员数量多、专业能力强、资历丰富的得5-10分；配备人员数量一般、专业能力一般、资历一般的得1-5分；配备人员数量少、专业能力若、资历不足的得0-1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项目开发团队.docx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2023 年10月至今类项目业绩， 以合同作为证明文件（以签订 时间为准），提供合同复印件，每提供一个业绩证明材料计1分， 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报价得分=（评审基准价/投标报价）×20 注：对小型、微型企业价格给予10%的扣除，用扣除后的价格参与评审；未提供中小企业声明函的不享受价格折扣。在评标时， 若政策有新变化， 以最新相关政策执行。</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需求理解</w:t>
            </w:r>
          </w:p>
        </w:tc>
        <w:tc>
          <w:tcPr>
            <w:tcW w:type="dxa" w:w="2492"/>
          </w:tcPr>
          <w:p>
            <w:pPr>
              <w:pStyle w:val="null3"/>
            </w:pPr>
            <w:r>
              <w:rPr>
                <w:rFonts w:ascii="仿宋_GB2312" w:hAnsi="仿宋_GB2312" w:cs="仿宋_GB2312" w:eastAsia="仿宋_GB2312"/>
              </w:rPr>
              <w:t>投标人需提供针对本次项目建设的理解，需对项目背景、目标、内容等进行阐述，形成项目理解概述。详细阐述本项目建设需求，对本项目要建设的文旅大数据管理平台、产业运行监测平台及移动端小程序等需求的理解进行描述，形成完整的阐述方案。 （1）所阐述的方案理解描述详细、准确，完全符合本次项目要求的，得（5-10］分； （2）所阐述的方案较为详细和准确，基本符合本次项目要求的， 得（3-5］分； （3）所阐述的方案不完整、可行性不高，不满足项目要求的，得 （0-3］分； （4）所阐述的方案很差或未提供的不得分。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需求理解.docx</w:t>
            </w:r>
          </w:p>
        </w:tc>
      </w:tr>
      <w:tr>
        <w:tc>
          <w:tcPr>
            <w:tcW w:type="dxa" w:w="831"/>
            <w:vMerge/>
          </w:tcPr>
          <w:p/>
        </w:tc>
        <w:tc>
          <w:tcPr>
            <w:tcW w:type="dxa" w:w="1661"/>
          </w:tcPr>
          <w:p>
            <w:pPr>
              <w:pStyle w:val="null3"/>
            </w:pPr>
            <w:r>
              <w:rPr>
                <w:rFonts w:ascii="仿宋_GB2312" w:hAnsi="仿宋_GB2312" w:cs="仿宋_GB2312" w:eastAsia="仿宋_GB2312"/>
              </w:rPr>
              <w:t>方案设计</w:t>
            </w:r>
          </w:p>
        </w:tc>
        <w:tc>
          <w:tcPr>
            <w:tcW w:type="dxa" w:w="2492"/>
          </w:tcPr>
          <w:p>
            <w:pPr>
              <w:pStyle w:val="null3"/>
            </w:pPr>
            <w:r>
              <w:rPr>
                <w:rFonts w:ascii="仿宋_GB2312" w:hAnsi="仿宋_GB2312" w:cs="仿宋_GB2312" w:eastAsia="仿宋_GB2312"/>
              </w:rPr>
              <w:t>投标人根据对本次建设项目的理解提供完整的方案设计，具体包含文旅大数据管理平台、产业运行监测平台及移动端小程序等建设内容的详细设计。包括系统的总体架构设计、网络架构设计、接口设计、数据库设计、功能设计。 （1）方案设计描述详细、准确、满足本次服务要求的，得（20- 25］分； （2）方案设计描述较为详细和准确，基本满足本次服务要求的， 得（10-20］分； （3）方案设计描述较差、不能完全满足本次服务要求的，得（0- 10］分； （4）未提供的不得分。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方案设计.docx</w:t>
            </w:r>
          </w:p>
        </w:tc>
      </w:tr>
      <w:tr>
        <w:tc>
          <w:tcPr>
            <w:tcW w:type="dxa" w:w="831"/>
            <w:vMerge/>
          </w:tcPr>
          <w:p/>
        </w:tc>
        <w:tc>
          <w:tcPr>
            <w:tcW w:type="dxa" w:w="1661"/>
          </w:tcPr>
          <w:p>
            <w:pPr>
              <w:pStyle w:val="null3"/>
            </w:pPr>
            <w:r>
              <w:rPr>
                <w:rFonts w:ascii="仿宋_GB2312" w:hAnsi="仿宋_GB2312" w:cs="仿宋_GB2312" w:eastAsia="仿宋_GB2312"/>
              </w:rPr>
              <w:t>方案实施</w:t>
            </w:r>
          </w:p>
        </w:tc>
        <w:tc>
          <w:tcPr>
            <w:tcW w:type="dxa" w:w="2492"/>
          </w:tcPr>
          <w:p>
            <w:pPr>
              <w:pStyle w:val="null3"/>
            </w:pPr>
            <w:r>
              <w:rPr>
                <w:rFonts w:ascii="仿宋_GB2312" w:hAnsi="仿宋_GB2312" w:cs="仿宋_GB2312" w:eastAsia="仿宋_GB2312"/>
              </w:rPr>
              <w:t>投标人针对本项目制定明确、切实可行的项目实施方案，（包括 但不限于提供项目人员组织管理、实施进度计划、进度保障措施 、质量保障措施、系统适配等内容进行评定。 （1）项目实施方案内容完善，且规划科学、合理，能保障项目顺 利实施的，得（10-15］分； （2）项目实施方案内容较完善，规划一般，基本能保障项目顺利 实施的，得（5-10］分； （3）项目实施方案内容不完善，规划较差，不能保障项目顺利实 施的，得（0-5］分； （4）项目实施方案很差或未提供实施方案的不得分。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方案实施.docx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提出完整的培训服务方案，包括培训承诺、培训内容等。 （1）具备完整的服务体系，方案内容完整，满足本次服务需求， 得（3-5］分； （2）服务方案较为完整，基本满足本次服务需求，得（1-3］分 ; （3）服务方案很差，得（0-1］分 ;。</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售后服务 方案</w:t>
            </w:r>
          </w:p>
        </w:tc>
        <w:tc>
          <w:tcPr>
            <w:tcW w:type="dxa" w:w="2492"/>
          </w:tcPr>
          <w:p>
            <w:pPr>
              <w:pStyle w:val="null3"/>
            </w:pPr>
            <w:r>
              <w:rPr>
                <w:rFonts w:ascii="仿宋_GB2312" w:hAnsi="仿宋_GB2312" w:cs="仿宋_GB2312" w:eastAsia="仿宋_GB2312"/>
              </w:rPr>
              <w:t>提出完整的服务管理方案，包括服务承诺、服务体系、服务流程 、服务能力，服务内容、应急预案、质量保障措施等。 （1）具备完整的服务体系，方案内容完整，满足本次服务需求， 得（7-10］分； （2）服务方案较为完整，基本满足本次服务需求，得（4-7］分 ; （3）服务方案不完整，不能完全满足本次服务需求，得（0-4］ 分； （4）服务方案很差或未提供的不得分。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商务部分（认证证书 ）</w:t>
            </w:r>
          </w:p>
        </w:tc>
        <w:tc>
          <w:tcPr>
            <w:tcW w:type="dxa" w:w="2492"/>
          </w:tcPr>
          <w:p>
            <w:pPr>
              <w:pStyle w:val="null3"/>
            </w:pPr>
            <w:r>
              <w:rPr>
                <w:rFonts w:ascii="仿宋_GB2312" w:hAnsi="仿宋_GB2312" w:cs="仿宋_GB2312" w:eastAsia="仿宋_GB2312"/>
              </w:rPr>
              <w:t>投标人须每提供ISO27001信息安全管理体系认证证书、 ISO20000信息服务管理体系认证证书、ISO9001质量管理体系认证证书一个得1分，最高得3分，不提供不得分。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商务部分（认证证书）.docx</w:t>
            </w:r>
          </w:p>
        </w:tc>
      </w:tr>
      <w:tr>
        <w:tc>
          <w:tcPr>
            <w:tcW w:type="dxa" w:w="831"/>
            <w:vMerge/>
          </w:tcPr>
          <w:p/>
        </w:tc>
        <w:tc>
          <w:tcPr>
            <w:tcW w:type="dxa" w:w="1661"/>
          </w:tcPr>
          <w:p>
            <w:pPr>
              <w:pStyle w:val="null3"/>
            </w:pPr>
            <w:r>
              <w:rPr>
                <w:rFonts w:ascii="仿宋_GB2312" w:hAnsi="仿宋_GB2312" w:cs="仿宋_GB2312" w:eastAsia="仿宋_GB2312"/>
              </w:rPr>
              <w:t>商务部分（团队成员 ）</w:t>
            </w:r>
          </w:p>
        </w:tc>
        <w:tc>
          <w:tcPr>
            <w:tcW w:type="dxa" w:w="2492"/>
          </w:tcPr>
          <w:p>
            <w:pPr>
              <w:pStyle w:val="null3"/>
            </w:pPr>
            <w:r>
              <w:rPr>
                <w:rFonts w:ascii="仿宋_GB2312" w:hAnsi="仿宋_GB2312" w:cs="仿宋_GB2312" w:eastAsia="仿宋_GB2312"/>
              </w:rPr>
              <w:t>（1）拟派项目经理具有信息系统项目管理师、信息安全工程师职业资格证书，每具备一个得1.5分，最多得3分。 （2）根据项目具体情况配置项目组主要成员，其中项目组主要成 员需具有系统规划与管理师、系统分析师、系统架构设计师、信息系统项目管理师、数据库系统工程师、数据分析师、软件评测师、软件设计师、网络工程师、互联网技术、系统集成项目管理工程师职业资格证书，每提供其中1个证书得1分，满分5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商务部分（团队成员）.docx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 2022 年10月至今类似项目业绩， 以合同作为证明文件（以签订时间为准），提供合同复印件，每提供一个业绩证明材料计1分， 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价格分采用低价优先法计算，即满足招标文件要求且投标价格最低的投标报价为评标基准价，其价格分为满分。其他供应商的价格分统一按照下列公式计算： 报价得分=（评审基准价/投标报价）×20 注：对小型、微型企业价格给予10%的扣除，用扣除后的价格参与评审；未提供中小企业声明函的不享受价格折扣。在评标时， 若政策有新变化， 以最新相关政策执行。</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详见附件：需求理解.docx</w:t>
      </w:r>
    </w:p>
    <w:p>
      <w:pPr>
        <w:pStyle w:val="null3"/>
        <w:ind w:firstLine="960"/>
      </w:pPr>
      <w:r>
        <w:rPr>
          <w:rFonts w:ascii="仿宋_GB2312" w:hAnsi="仿宋_GB2312" w:cs="仿宋_GB2312" w:eastAsia="仿宋_GB2312"/>
        </w:rPr>
        <w:t>详见附件：软件方案设计.docx</w:t>
      </w:r>
    </w:p>
    <w:p>
      <w:pPr>
        <w:pStyle w:val="null3"/>
        <w:ind w:firstLine="960"/>
      </w:pPr>
      <w:r>
        <w:rPr>
          <w:rFonts w:ascii="仿宋_GB2312" w:hAnsi="仿宋_GB2312" w:cs="仿宋_GB2312" w:eastAsia="仿宋_GB2312"/>
        </w:rPr>
        <w:t>详见附件：实施部署.docx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详见附件：项目开发团队.docx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详见附件：需求理解.docx</w:t>
      </w:r>
    </w:p>
    <w:p>
      <w:pPr>
        <w:pStyle w:val="null3"/>
        <w:ind w:firstLine="960"/>
      </w:pPr>
      <w:r>
        <w:rPr>
          <w:rFonts w:ascii="仿宋_GB2312" w:hAnsi="仿宋_GB2312" w:cs="仿宋_GB2312" w:eastAsia="仿宋_GB2312"/>
        </w:rPr>
        <w:t>详见附件：方案设计.docx</w:t>
      </w:r>
    </w:p>
    <w:p>
      <w:pPr>
        <w:pStyle w:val="null3"/>
        <w:ind w:firstLine="960"/>
      </w:pPr>
      <w:r>
        <w:rPr>
          <w:rFonts w:ascii="仿宋_GB2312" w:hAnsi="仿宋_GB2312" w:cs="仿宋_GB2312" w:eastAsia="仿宋_GB2312"/>
        </w:rPr>
        <w:t>详见附件：方案实施.docx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详见附件：商务部分（认证证书）.docx</w:t>
      </w:r>
    </w:p>
    <w:p>
      <w:pPr>
        <w:pStyle w:val="null3"/>
        <w:ind w:firstLine="960"/>
      </w:pPr>
      <w:r>
        <w:rPr>
          <w:rFonts w:ascii="仿宋_GB2312" w:hAnsi="仿宋_GB2312" w:cs="仿宋_GB2312" w:eastAsia="仿宋_GB2312"/>
        </w:rPr>
        <w:t>详见附件：商务部分（团队成员）.docx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