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版本号：PTZX-2025-ZC03020251106001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渭南市2025年文旅场景化服务采购项目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PTZX-2025-ZC030</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鹏泰（陕西）项目管理咨询有限责任公司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鹏泰（陕西）项目管理咨询有限责任公司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渭南市2025年文旅场景化服务采购项目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PTZX-2025-ZC030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渭南市2025年文旅场景化服务采购项目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丰富宣传展示我市文化旅游资源形式，提升我市文旅资源的影响力，多元化传承非遗文化，制作3D裸眼宣传片两部：一部为山水人文篇，时常约180秒，影片尺寸：五折幕6K；一部为非遗美食篇，时常约90秒，影片尺寸：五折幕6K。</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10、非专门面向中小企业采购：非专门面向中小企业采购；供应商需在项目电子化交易系统中按要求上传相应证明文件并进行电子签章。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w:t>
      </w:r>
    </w:p>
    <w:p>
      <w:pPr>
        <w:pStyle w:val="null3"/>
      </w:pPr>
      <w:r>
        <w:rPr>
          <w:rFonts w:ascii="仿宋_GB2312" w:hAnsi="仿宋_GB2312" w:cs="仿宋_GB2312" w:eastAsia="仿宋_GB2312"/>
        </w:rPr>
        <w:t>10、非专门面向中小企业采购：非专门面向中小企业采购；供应商需在项目电子化交易系统中按要求上传相应证明文件并进行电子签章。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13992339785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鹏泰（陕西）项目管理咨询有限责任公司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陕西省西安市广安路振业泊公馆1号楼2单元1104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p>
          <w:p>
            <w:pPr>
              <w:pStyle w:val="null3"/>
            </w:pPr>
            <w:r>
              <w:rPr>
                <w:rFonts w:ascii="仿宋_GB2312" w:hAnsi="仿宋_GB2312" w:cs="仿宋_GB2312" w:eastAsia="仿宋_GB2312"/>
              </w:rPr>
              <w:t>采购包2：230,000.00元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开户名称：鹏泰（陕西）项目管理咨询有限责任公司</w:t>
            </w:r>
          </w:p>
          <w:p>
            <w:pPr>
              <w:pStyle w:val="null3"/>
            </w:pPr>
            <w:r>
              <w:rPr>
                <w:rFonts w:ascii="仿宋_GB2312" w:hAnsi="仿宋_GB2312" w:cs="仿宋_GB2312" w:eastAsia="仿宋_GB2312"/>
              </w:rPr>
              <w:t>开户银行：中国建设银行股份有限公司西安元朔路支行</w:t>
            </w:r>
          </w:p>
          <w:p>
            <w:pPr>
              <w:pStyle w:val="null3"/>
            </w:pPr>
            <w:r>
              <w:rPr>
                <w:rFonts w:ascii="仿宋_GB2312" w:hAnsi="仿宋_GB2312" w:cs="仿宋_GB2312" w:eastAsia="仿宋_GB2312"/>
              </w:rPr>
              <w:t>银行账号：6105 0111 7695 0000 0789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代理服务费收费标准：参照发改办价格[2003]857号文件精神，本协议政府采购项目的政府采购代理费参照国家收费标准（计价格【2002】1980号、发改价格【2011】534号文、陕价行 发【2012】72号）计算政府采购代理服务费。政府采购代理服务费由中标（成交）人在领取中 标（成交）通知书前一次性支付给政府采购代理机构。 收款单位：鹏泰(陕西)项目管理咨询有 限责任公司 开 户 行：中国建设银行股份有限公司西安凤城八路支行 账 号：6105017178000 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鹏泰（陕西）项目管理咨询有限责任公司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鹏泰（陕西）项目管理咨询有限责任公司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鹏泰（陕西）项目管理咨询有限责任公司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国家、省市相关规范、其他相关专业现行规范及采购文件要求。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国家、省市相关规范、其他相关专业现行规范及采购文件要求。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联系人：杨蕾</w:t>
      </w:r>
    </w:p>
    <w:p>
      <w:pPr>
        <w:pStyle w:val="null3"/>
      </w:pPr>
      <w:r>
        <w:rPr>
          <w:rFonts w:ascii="仿宋_GB2312" w:hAnsi="仿宋_GB2312" w:cs="仿宋_GB2312" w:eastAsia="仿宋_GB2312"/>
        </w:rPr>
        <w:t>联系电话：19929278073</w:t>
      </w:r>
    </w:p>
    <w:p>
      <w:pPr>
        <w:pStyle w:val="null3"/>
      </w:pPr>
      <w:r>
        <w:rPr>
          <w:rFonts w:ascii="仿宋_GB2312" w:hAnsi="仿宋_GB2312" w:cs="仿宋_GB2312" w:eastAsia="仿宋_GB2312"/>
        </w:rPr>
        <w:t>地址：陕西省西安市广安路振业泊公馆一号楼二单元1104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丰富宣传展示我市文化旅游资源形式，提升我市文旅资源的影响力，多元化传承非遗文化，制作3D裸眼宣传片两部：一部为山水人文篇，时常约180秒，影片尺寸：五折幕6K；一部为非遗美食篇，时常约90秒，影片尺寸：五折幕6K。</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渭南市2025年文旅场景化服务采购项目合同包1：山水人文篇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渭南市2025年文旅场景化服务采购项目合同包2：非遗美食篇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标的名称：渭南市2025年文旅场景化服务采购项目合同包1：山水人文篇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color w:val="000000"/>
              </w:rPr>
              <w:t>一、制片说明</w:t>
            </w:r>
          </w:p>
          <w:tbl>
            <w:tblPr>
              <w:tblInd w:type="dxa" w:w="135"/>
              <w:tblBorders>
                <w:top w:val="none" w:color="000000" w:sz="4"/>
                <w:left w:val="none" w:color="000000" w:sz="4"/>
                <w:bottom w:val="none" w:color="000000" w:sz="4"/>
                <w:right w:val="none" w:color="000000" w:sz="4"/>
                <w:insideH w:val="none"/>
                <w:insideV w:val="none"/>
              </w:tblBorders>
            </w:tblPr>
            <w:tblGrid>
              <w:gridCol w:w="543"/>
              <w:gridCol w:w="819"/>
              <w:gridCol w:w="373"/>
              <w:gridCol w:w="819"/>
            </w:tblGrid>
            <w:tr>
              <w:tc>
                <w:tcPr>
                  <w:tcW w:type="dxa" w:w="543"/>
                  <w:tcBorders>
                    <w:top w:val="singl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项目名称</w:t>
                  </w:r>
                </w:p>
              </w:tc>
              <w:tc>
                <w:tcPr>
                  <w:tcW w:type="dxa" w:w="81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渭南市2025年文旅场景化服务采购项目合同包1：山水人文篇</w:t>
                  </w:r>
                </w:p>
              </w:tc>
              <w:tc>
                <w:tcPr>
                  <w:tcW w:type="dxa" w:w="373"/>
                  <w:tcBorders>
                    <w:top w:val="singl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影片尺寸</w:t>
                  </w:r>
                </w:p>
              </w:tc>
              <w:tc>
                <w:tcPr>
                  <w:tcW w:type="dxa" w:w="81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五折幕：6K</w:t>
                  </w:r>
                </w:p>
              </w:tc>
            </w:tr>
            <w:tr>
              <w:tc>
                <w:tcPr>
                  <w:tcW w:type="dxa" w:w="54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产品类别</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三维+特效</w:t>
                  </w:r>
                </w:p>
              </w:tc>
              <w:tc>
                <w:tcPr>
                  <w:tcW w:type="dxa" w:w="37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影片时长</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180s</w:t>
                  </w:r>
                </w:p>
              </w:tc>
            </w:tr>
            <w:tr>
              <w:tc>
                <w:tcPr>
                  <w:tcW w:type="dxa" w:w="54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语言规格</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中文</w:t>
                  </w:r>
                </w:p>
              </w:tc>
              <w:tc>
                <w:tcPr>
                  <w:tcW w:type="dxa" w:w="37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制作周期</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45个日历天</w:t>
                  </w:r>
                </w:p>
              </w:tc>
            </w:tr>
          </w:tbl>
          <w:p>
            <w:pPr>
              <w:pStyle w:val="null3"/>
            </w:pPr>
            <w:r>
              <w:rPr>
                <w:rFonts w:ascii="仿宋_GB2312" w:hAnsi="仿宋_GB2312" w:cs="仿宋_GB2312" w:eastAsia="仿宋_GB2312"/>
                <w:sz w:val="24"/>
                <w:color w:val="000000"/>
              </w:rPr>
              <w:t xml:space="preserve"> 二、影片创意结构</w:t>
            </w:r>
          </w:p>
          <w:p>
            <w:pPr>
              <w:pStyle w:val="null3"/>
              <w:ind w:firstLine="470"/>
            </w:pPr>
            <w:r>
              <w:rPr>
                <w:rFonts w:ascii="仿宋_GB2312" w:hAnsi="仿宋_GB2312" w:cs="仿宋_GB2312" w:eastAsia="仿宋_GB2312"/>
                <w:sz w:val="24"/>
                <w:color w:val="000000"/>
              </w:rPr>
              <w:t>核心定位:大气磅礴、历史厚重感、字载华夏、地理科普</w:t>
            </w:r>
          </w:p>
          <w:p>
            <w:pPr>
              <w:pStyle w:val="null3"/>
              <w:ind w:firstLine="470"/>
            </w:pPr>
            <w:r>
              <w:rPr>
                <w:rFonts w:ascii="仿宋_GB2312" w:hAnsi="仿宋_GB2312" w:cs="仿宋_GB2312" w:eastAsia="仿宋_GB2312"/>
                <w:sz w:val="24"/>
                <w:color w:val="000000"/>
              </w:rPr>
              <w:t>目标观众:历史文化爱好者、自然风光摄影师、研学群体</w:t>
            </w:r>
          </w:p>
          <w:p>
            <w:pPr>
              <w:pStyle w:val="null3"/>
              <w:ind w:firstLine="470"/>
            </w:pPr>
            <w:r>
              <w:rPr>
                <w:rFonts w:ascii="仿宋_GB2312" w:hAnsi="仿宋_GB2312" w:cs="仿宋_GB2312" w:eastAsia="仿宋_GB2312"/>
                <w:sz w:val="24"/>
                <w:color w:val="000000"/>
              </w:rPr>
              <w:t>叙事主线:以地理变迁、造字之源，串联文明诞生。</w:t>
            </w:r>
          </w:p>
          <w:p>
            <w:pPr>
              <w:pStyle w:val="null3"/>
              <w:ind w:firstLine="470"/>
            </w:pPr>
            <w:r>
              <w:rPr>
                <w:rFonts w:ascii="仿宋_GB2312" w:hAnsi="仿宋_GB2312" w:cs="仿宋_GB2312" w:eastAsia="仿宋_GB2312"/>
                <w:sz w:val="24"/>
                <w:color w:val="000000"/>
              </w:rPr>
              <w:t>三、整体核心定位</w:t>
            </w:r>
          </w:p>
          <w:p>
            <w:pPr>
              <w:pStyle w:val="null3"/>
            </w:pPr>
            <w:r>
              <w:rPr>
                <w:rFonts w:ascii="仿宋_GB2312" w:hAnsi="仿宋_GB2312" w:cs="仿宋_GB2312" w:eastAsia="仿宋_GB2312"/>
                <w:sz w:val="24"/>
                <w:color w:val="000000"/>
              </w:rPr>
              <w:t>主旨：</w:t>
            </w:r>
          </w:p>
          <w:p>
            <w:pPr>
              <w:pStyle w:val="null3"/>
            </w:pPr>
            <w:r>
              <w:rPr>
                <w:rFonts w:ascii="仿宋_GB2312" w:hAnsi="仿宋_GB2312" w:cs="仿宋_GB2312" w:eastAsia="仿宋_GB2312"/>
                <w:sz w:val="24"/>
                <w:color w:val="000000"/>
              </w:rPr>
              <w:t>将渭南定位为不仅是地理意义上的门户，更是中华文明的精神根源和缩影。通过宏大的时空叙事，回答“何谓华夏”这一深刻命题。</w:t>
            </w:r>
          </w:p>
          <w:p>
            <w:pPr>
              <w:pStyle w:val="null3"/>
            </w:pPr>
            <w:r>
              <w:rPr>
                <w:rFonts w:ascii="仿宋_GB2312" w:hAnsi="仿宋_GB2312" w:cs="仿宋_GB2312" w:eastAsia="仿宋_GB2312"/>
                <w:sz w:val="24"/>
                <w:color w:val="000000"/>
              </w:rPr>
              <w:t>手法：</w:t>
            </w:r>
          </w:p>
          <w:p>
            <w:pPr>
              <w:pStyle w:val="null3"/>
            </w:pPr>
            <w:r>
              <w:rPr>
                <w:rFonts w:ascii="仿宋_GB2312" w:hAnsi="仿宋_GB2312" w:cs="仿宋_GB2312" w:eastAsia="仿宋_GB2312"/>
                <w:sz w:val="24"/>
                <w:color w:val="000000"/>
              </w:rPr>
              <w:t>以地理（山河）为“经”，以人文（历史、精神、生活）为“纬”，编织出⼀幅跨越千年的壮丽画卷。</w:t>
            </w:r>
          </w:p>
          <w:p>
            <w:pPr>
              <w:pStyle w:val="null3"/>
            </w:pPr>
            <w:r>
              <w:rPr>
                <w:rFonts w:ascii="仿宋_GB2312" w:hAnsi="仿宋_GB2312" w:cs="仿宋_GB2312" w:eastAsia="仿宋_GB2312"/>
                <w:sz w:val="24"/>
                <w:color w:val="000000"/>
              </w:rPr>
              <w:t xml:space="preserve"> 四、视觉设计</w:t>
            </w:r>
          </w:p>
          <w:p>
            <w:pPr>
              <w:pStyle w:val="null3"/>
            </w:pPr>
            <w:r>
              <w:rPr>
                <w:rFonts w:ascii="仿宋_GB2312" w:hAnsi="仿宋_GB2312" w:cs="仿宋_GB2312" w:eastAsia="仿宋_GB2312"/>
                <w:sz w:val="24"/>
                <w:color w:val="000000"/>
              </w:rPr>
              <w:t>山河作证---华夏之根---天地之源----千古守望----精神丰碑----文明脉络---风华千年</w:t>
            </w:r>
          </w:p>
          <w:p>
            <w:pPr>
              <w:pStyle w:val="null3"/>
            </w:pPr>
            <w:r>
              <w:rPr>
                <w:rFonts w:ascii="仿宋_GB2312" w:hAnsi="仿宋_GB2312" w:cs="仿宋_GB2312" w:eastAsia="仿宋_GB2312"/>
                <w:sz w:val="24"/>
                <w:color w:val="000000"/>
              </w:rPr>
              <w:t>利用五折幕的环绕性与裸眼3D特性，将观众瞬间吸入一个宏大的地理时空，奠定全片“山河造门”的史诗基调；</w:t>
            </w:r>
          </w:p>
          <w:p>
            <w:pPr>
              <w:pStyle w:val="null3"/>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标的名称：渭南市2025年文旅场景化服务采购项目合同包2：非遗美食篇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7"/>
              </w:rPr>
              <w:t>一、制片说明</w:t>
            </w:r>
          </w:p>
          <w:tbl>
            <w:tblPr>
              <w:tblInd w:type="dxa" w:w="135"/>
              <w:tblBorders>
                <w:top w:val="none" w:color="000000" w:sz="4"/>
                <w:left w:val="none" w:color="000000" w:sz="4"/>
                <w:bottom w:val="none" w:color="000000" w:sz="4"/>
                <w:right w:val="none" w:color="000000" w:sz="4"/>
                <w:insideH w:val="none"/>
                <w:insideV w:val="none"/>
              </w:tblBorders>
            </w:tblPr>
            <w:tblGrid>
              <w:gridCol w:w="543"/>
              <w:gridCol w:w="819"/>
              <w:gridCol w:w="373"/>
              <w:gridCol w:w="819"/>
            </w:tblGrid>
            <w:tr>
              <w:tc>
                <w:tcPr>
                  <w:tcW w:type="dxa" w:w="543"/>
                  <w:tcBorders>
                    <w:top w:val="singl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center"/>
                  </w:pPr>
                  <w:r>
                    <w:rPr>
                      <w:rFonts w:ascii="仿宋_GB2312" w:hAnsi="仿宋_GB2312" w:cs="仿宋_GB2312" w:eastAsia="仿宋_GB2312"/>
                      <w:sz w:val="27"/>
                    </w:rPr>
                    <w:t>项目名称</w:t>
                  </w:r>
                </w:p>
              </w:tc>
              <w:tc>
                <w:tcPr>
                  <w:tcW w:type="dxa" w:w="81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7"/>
                    </w:rPr>
                    <w:t>渭南市2025年文旅场景化服务采购项目合同包2：非遗美食篇</w:t>
                  </w:r>
                </w:p>
              </w:tc>
              <w:tc>
                <w:tcPr>
                  <w:tcW w:type="dxa" w:w="373"/>
                  <w:tcBorders>
                    <w:top w:val="singl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影片尺寸</w:t>
                  </w:r>
                </w:p>
              </w:tc>
              <w:tc>
                <w:tcPr>
                  <w:tcW w:type="dxa" w:w="81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7"/>
                    </w:rPr>
                    <w:t>五折幕：6K</w:t>
                  </w:r>
                </w:p>
              </w:tc>
            </w:tr>
            <w:tr>
              <w:tc>
                <w:tcPr>
                  <w:tcW w:type="dxa" w:w="54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center"/>
                  </w:pPr>
                  <w:r>
                    <w:rPr>
                      <w:rFonts w:ascii="仿宋_GB2312" w:hAnsi="仿宋_GB2312" w:cs="仿宋_GB2312" w:eastAsia="仿宋_GB2312"/>
                      <w:sz w:val="27"/>
                    </w:rPr>
                    <w:t>产品类别</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7"/>
                    </w:rPr>
                    <w:t>三维+特效</w:t>
                  </w:r>
                </w:p>
              </w:tc>
              <w:tc>
                <w:tcPr>
                  <w:tcW w:type="dxa" w:w="37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影片时长</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7"/>
                    </w:rPr>
                    <w:t>90s</w:t>
                  </w:r>
                </w:p>
              </w:tc>
            </w:tr>
            <w:tr>
              <w:tc>
                <w:tcPr>
                  <w:tcW w:type="dxa" w:w="54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center"/>
                  </w:pPr>
                  <w:r>
                    <w:rPr>
                      <w:rFonts w:ascii="仿宋_GB2312" w:hAnsi="仿宋_GB2312" w:cs="仿宋_GB2312" w:eastAsia="仿宋_GB2312"/>
                      <w:sz w:val="27"/>
                    </w:rPr>
                    <w:t>语言规格</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960"/>
                    <w:jc w:val="both"/>
                  </w:pPr>
                  <w:r>
                    <w:rPr>
                      <w:rFonts w:ascii="仿宋_GB2312" w:hAnsi="仿宋_GB2312" w:cs="仿宋_GB2312" w:eastAsia="仿宋_GB2312"/>
                      <w:sz w:val="27"/>
                    </w:rPr>
                    <w:t>中文</w:t>
                  </w:r>
                </w:p>
              </w:tc>
              <w:tc>
                <w:tcPr>
                  <w:tcW w:type="dxa" w:w="373"/>
                  <w:tcBorders>
                    <w:top w:val="none" w:color="000000" w:sz="4"/>
                    <w:left w:val="single" w:color="000000" w:sz="4"/>
                    <w:bottom w:val="single" w:color="000000" w:sz="4"/>
                    <w:right w:val="single" w:color="000000" w:sz="4"/>
                  </w:tcBorders>
                  <w:shd w:fill="A4A4A4"/>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制作周期</w:t>
                  </w:r>
                </w:p>
              </w:tc>
              <w:tc>
                <w:tcPr>
                  <w:tcW w:type="dxa" w:w="819"/>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7"/>
                    </w:rPr>
                    <w:t>45个日历天</w:t>
                  </w:r>
                </w:p>
              </w:tc>
            </w:tr>
          </w:tbl>
          <w:p>
            <w:pPr>
              <w:pStyle w:val="null3"/>
              <w:jc w:val="both"/>
            </w:pPr>
            <w:r>
              <w:rPr>
                <w:rFonts w:ascii="仿宋_GB2312" w:hAnsi="仿宋_GB2312" w:cs="仿宋_GB2312" w:eastAsia="仿宋_GB2312"/>
                <w:sz w:val="27"/>
              </w:rPr>
              <w:t>二、核⼼创意与定位</w:t>
            </w:r>
          </w:p>
          <w:p>
            <w:pPr>
              <w:pStyle w:val="null3"/>
              <w:jc w:val="left"/>
            </w:pPr>
            <w:r>
              <w:rPr>
                <w:rFonts w:ascii="仿宋_GB2312" w:hAnsi="仿宋_GB2312" w:cs="仿宋_GB2312" w:eastAsia="仿宋_GB2312"/>
                <w:sz w:val="27"/>
                <w:color w:val="1F2329"/>
              </w:rPr>
              <w:t>主题：展现活态问化与人间烟火</w:t>
            </w:r>
          </w:p>
          <w:p>
            <w:pPr>
              <w:pStyle w:val="null3"/>
              <w:jc w:val="left"/>
            </w:pPr>
            <w:r>
              <w:rPr>
                <w:rFonts w:ascii="仿宋_GB2312" w:hAnsi="仿宋_GB2312" w:cs="仿宋_GB2312" w:eastAsia="仿宋_GB2312"/>
                <w:sz w:val="27"/>
                <w:color w:val="1F2329"/>
              </w:rPr>
              <w:t>核⼼定位：鲜活生动、声色味俱全、文化体验感</w:t>
            </w:r>
          </w:p>
          <w:p>
            <w:pPr>
              <w:pStyle w:val="null3"/>
              <w:jc w:val="left"/>
            </w:pPr>
            <w:r>
              <w:rPr>
                <w:rFonts w:ascii="仿宋_GB2312" w:hAnsi="仿宋_GB2312" w:cs="仿宋_GB2312" w:eastAsia="仿宋_GB2312"/>
                <w:sz w:val="27"/>
                <w:color w:val="1F2329"/>
              </w:rPr>
              <w:t>目标观众：美食爱好者、非遗文化体验者、年轻打卡群体</w:t>
            </w:r>
          </w:p>
          <w:p>
            <w:pPr>
              <w:pStyle w:val="null3"/>
              <w:jc w:val="left"/>
            </w:pPr>
            <w:r>
              <w:rPr>
                <w:rFonts w:ascii="仿宋_GB2312" w:hAnsi="仿宋_GB2312" w:cs="仿宋_GB2312" w:eastAsia="仿宋_GB2312"/>
                <w:sz w:val="27"/>
                <w:color w:val="1F2329"/>
              </w:rPr>
              <w:t>叙事主线：以“味觉”和“声觉”为线索，探寻非遗的活态传承。</w:t>
            </w:r>
          </w:p>
          <w:p>
            <w:pPr>
              <w:pStyle w:val="null3"/>
              <w:jc w:val="left"/>
            </w:pPr>
            <w:r>
              <w:rPr>
                <w:rFonts w:ascii="仿宋_GB2312" w:hAnsi="仿宋_GB2312" w:cs="仿宋_GB2312" w:eastAsia="仿宋_GB2312"/>
                <w:sz w:val="27"/>
                <w:color w:val="1F2329"/>
              </w:rPr>
              <w:t>三、项目价值</w:t>
            </w:r>
          </w:p>
          <w:p>
            <w:pPr>
              <w:pStyle w:val="null3"/>
            </w:pPr>
            <w:r>
              <w:rPr>
                <w:rFonts w:ascii="仿宋_GB2312" w:hAnsi="仿宋_GB2312" w:cs="仿宋_GB2312" w:eastAsia="仿宋_GB2312"/>
                <w:sz w:val="27"/>
                <w:color w:val="1F2329"/>
              </w:rPr>
              <w:t>本片旨在通过现代视听语言与前沿特效技术，系统性地展示渭南</w:t>
            </w:r>
            <w:r>
              <w:rPr>
                <w:rFonts w:ascii="仿宋_GB2312" w:hAnsi="仿宋_GB2312" w:cs="仿宋_GB2312" w:eastAsia="仿宋_GB2312"/>
                <w:sz w:val="27"/>
                <w:color w:val="1F2329"/>
              </w:rPr>
              <w:t>非遗</w:t>
            </w:r>
            <w:r>
              <w:rPr>
                <w:rFonts w:ascii="仿宋_GB2312" w:hAnsi="仿宋_GB2312" w:cs="仿宋_GB2312" w:eastAsia="仿宋_GB2312"/>
                <w:sz w:val="27"/>
                <w:color w:val="1F2329"/>
              </w:rPr>
              <w:t>与</w:t>
            </w:r>
            <w:r>
              <w:rPr>
                <w:rFonts w:ascii="仿宋_GB2312" w:hAnsi="仿宋_GB2312" w:cs="仿宋_GB2312" w:eastAsia="仿宋_GB2312"/>
                <w:sz w:val="27"/>
                <w:color w:val="1F2329"/>
              </w:rPr>
              <w:t>美食</w:t>
            </w:r>
            <w:r>
              <w:rPr>
                <w:rFonts w:ascii="仿宋_GB2312" w:hAnsi="仿宋_GB2312" w:cs="仿宋_GB2312" w:eastAsia="仿宋_GB2312"/>
                <w:sz w:val="27"/>
                <w:color w:val="1F2329"/>
              </w:rPr>
              <w:t>文</w:t>
            </w:r>
            <w:r>
              <w:rPr>
                <w:rFonts w:ascii="仿宋_GB2312" w:hAnsi="仿宋_GB2312" w:cs="仿宋_GB2312" w:eastAsia="仿宋_GB2312"/>
                <w:sz w:val="27"/>
                <w:color w:val="1F2329"/>
              </w:rPr>
              <w:t>化的魅力，达成以下目标</w:t>
            </w:r>
            <w:r>
              <w:rPr>
                <w:rFonts w:ascii="仿宋_GB2312" w:hAnsi="仿宋_GB2312" w:cs="仿宋_GB2312" w:eastAsia="仿宋_GB2312"/>
                <w:sz w:val="27"/>
                <w:color w:val="1F2329"/>
              </w:rPr>
              <w:t>：</w:t>
            </w:r>
          </w:p>
          <w:p>
            <w:pPr>
              <w:pStyle w:val="null3"/>
            </w:pPr>
            <w:r>
              <w:rPr>
                <w:rFonts w:ascii="仿宋_GB2312" w:hAnsi="仿宋_GB2312" w:cs="仿宋_GB2312" w:eastAsia="仿宋_GB2312"/>
                <w:sz w:val="27"/>
                <w:color w:val="1F2329"/>
              </w:rPr>
              <w:t>文化传播：提升渭南城市文化影响力，展示其深厚底蕴与鲜活生命力。</w:t>
            </w:r>
          </w:p>
          <w:p>
            <w:pPr>
              <w:pStyle w:val="null3"/>
            </w:pPr>
            <w:r>
              <w:rPr>
                <w:rFonts w:ascii="仿宋_GB2312" w:hAnsi="仿宋_GB2312" w:cs="仿宋_GB2312" w:eastAsia="仿宋_GB2312"/>
                <w:sz w:val="27"/>
                <w:color w:val="1F2329"/>
              </w:rPr>
              <w:t>旅游推广：以“声色味”吸引游客，推动文旅融合与经济发展。</w:t>
            </w:r>
          </w:p>
          <w:p>
            <w:pPr>
              <w:pStyle w:val="null3"/>
            </w:pPr>
            <w:r>
              <w:rPr>
                <w:rFonts w:ascii="仿宋_GB2312" w:hAnsi="仿宋_GB2312" w:cs="仿宋_GB2312" w:eastAsia="仿宋_GB2312"/>
                <w:sz w:val="27"/>
                <w:color w:val="1F2329"/>
              </w:rPr>
              <w:t>年轻化表达：让古老非遗“活”起来，变得可感、可触、可互动，贴近年轻受众。</w:t>
            </w:r>
          </w:p>
          <w:p>
            <w:pPr>
              <w:pStyle w:val="null3"/>
            </w:pPr>
            <w:r>
              <w:rPr>
                <w:rFonts w:ascii="仿宋_GB2312" w:hAnsi="仿宋_GB2312" w:cs="仿宋_GB2312" w:eastAsia="仿宋_GB2312"/>
                <w:sz w:val="27"/>
                <w:color w:val="1F2329"/>
              </w:rPr>
              <w:t>整部影片结构环环相扣，节奏张弛有度，力求打造一部既有文化深度，又有市场热度的城市宣传精品。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1、国家、省市相关规范及其他相关专业现行规范； 2、采购文件及合同要求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1、国家、省市相关规范及其他相关专业现行规范； 2、采购文件及合同要求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双方友好协商，协商不成可向项目所在地人民法院起诉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响应文件至代理机构（经编标工具生成的文件直接打印并加盖公章），递交的纸质版文件内容确保与线上电子文件保持一致，不允许修改和补充。2、根据《政府采购法实施条例》释义，银行、保险、石油石化、电力、电信等有行业特殊情况的，允许法人的分支机构参加政府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残疾人福利性单位声明函 中小企业声明函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非专门面向中小企业采购</w:t>
            </w:r>
          </w:p>
        </w:tc>
        <w:tc>
          <w:tcPr>
            <w:tcW w:type="dxa" w:w="3322"/>
          </w:tcPr>
          <w:p>
            <w:pPr>
              <w:pStyle w:val="null3"/>
            </w:pPr>
            <w:r>
              <w:rPr>
                <w:rFonts w:ascii="仿宋_GB2312" w:hAnsi="仿宋_GB2312" w:cs="仿宋_GB2312" w:eastAsia="仿宋_GB2312"/>
              </w:rPr>
              <w:t>非专门面向中小企业采购；供应商需在项目电子化交易系统中按要求上传相应证明文件并进行电子签章。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非专门面向中小企业采购</w:t>
            </w:r>
          </w:p>
        </w:tc>
        <w:tc>
          <w:tcPr>
            <w:tcW w:type="dxa" w:w="3322"/>
          </w:tcPr>
          <w:p>
            <w:pPr>
              <w:pStyle w:val="null3"/>
            </w:pPr>
            <w:r>
              <w:rPr>
                <w:rFonts w:ascii="仿宋_GB2312" w:hAnsi="仿宋_GB2312" w:cs="仿宋_GB2312" w:eastAsia="仿宋_GB2312"/>
              </w:rPr>
              <w:t>非专门面向中小企业采购；供应商需在项目电子化交易系统中按要求上传相应证明文件并进行电子签章。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磋商报价是固定价且唯一，不得提交选择性报价，且标价不得高于等于采购预算。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售后服务方案.docx 业绩.docx 创意方案.docx 中小企业声明函 商务应答表 报价表 响应文件封面 项目组人员.docx 残疾人福利性单位声明函 3D拍摄制作方案.docx 标的清单 项目理解.docx 供应商资格证明文件.docx 响应函 实施进度计划措施.docx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售后服务方案.docx 业绩.docx 创意方案.docx 中小企业声明函 商务应答表 报价表 响应文件封面 项目组人员.docx 残疾人福利性单位声明函 3D拍摄制作方案.docx 标的清单 项目理解.docx 供应商资格证明文件.docx 响应函 实施进度计划措施.docx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磋商报价是固定价且唯一，不得提交选择性报价，且标价不得高于等于采购预算。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业绩.docx 创意方案.docx 中小企业声明函 商务应答表 报价表 响应文件封面 项目组人员.docx 残疾人福利性单位声明函 3D拍摄制作方案.docx 标的清单 供应商资格证明文件.docx 需求理解.docx 响应函 实施进度计划措施.docx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业绩.docx 创意方案.docx 中小企业声明函 商务应答表 报价表 响应文件封面 项目组人员.docx 残疾人福利性单位声明函 3D拍摄制作方案.docx 标的清单 供应商资格证明文件.docx 需求理解.docx 响应函 实施进度计划措施.docx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投标人需提供针对本次项目建设的理解，需对项目背景、目标、内容等进行阐述，形成项目理解概述。详细阐述本项目建设需求，对本项目要拍摄制作宣传片需求的理解进行描述，形成完整的阐述方案。 （1）所阐述的方案理解描述详细、准确，完全符合本次项目要求的，得（5-10］分； （2）所阐述的方案较为详细和准确，基本符合本次项目要求的， 得（3-5］分； （3）所阐述的方案不完整、可行性不高，不满足项目要求的，得 （0-3］分；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创意方案</w:t>
            </w:r>
          </w:p>
        </w:tc>
        <w:tc>
          <w:tcPr>
            <w:tcW w:type="dxa" w:w="2492"/>
          </w:tcPr>
          <w:p>
            <w:pPr>
              <w:pStyle w:val="null3"/>
            </w:pPr>
            <w:r>
              <w:rPr>
                <w:rFonts w:ascii="仿宋_GB2312" w:hAnsi="仿宋_GB2312" w:cs="仿宋_GB2312" w:eastAsia="仿宋_GB2312"/>
              </w:rPr>
              <w:t xml:space="preserve"> 优秀（15-20分）：精准契合采购方诉求，3D创意突破传统，脚本（含分镜头、配音规划）逻辑闭环、主题鲜明； - 良好（10-15分）：符合项目需求，3D创意较新颖，脚本完整、过渡自然； - 一般（5-10分）：基本满足需求，创意常规，脚本框架完整但细节不足； - 较差（0-5分）：理解偏差，无3D核心创意，脚本不完整。</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创意方案.docx</w:t>
            </w:r>
          </w:p>
        </w:tc>
      </w:tr>
      <w:tr>
        <w:tc>
          <w:tcPr>
            <w:tcW w:type="dxa" w:w="831"/>
            <w:vMerge/>
          </w:tcPr>
          <w:p/>
        </w:tc>
        <w:tc>
          <w:tcPr>
            <w:tcW w:type="dxa" w:w="1661"/>
          </w:tcPr>
          <w:p>
            <w:pPr>
              <w:pStyle w:val="null3"/>
            </w:pPr>
            <w:r>
              <w:rPr>
                <w:rFonts w:ascii="仿宋_GB2312" w:hAnsi="仿宋_GB2312" w:cs="仿宋_GB2312" w:eastAsia="仿宋_GB2312"/>
              </w:rPr>
              <w:t>3D拍摄制作方案</w:t>
            </w:r>
          </w:p>
        </w:tc>
        <w:tc>
          <w:tcPr>
            <w:tcW w:type="dxa" w:w="2492"/>
          </w:tcPr>
          <w:p>
            <w:pPr>
              <w:pStyle w:val="null3"/>
            </w:pPr>
            <w:r>
              <w:rPr>
                <w:rFonts w:ascii="仿宋_GB2312" w:hAnsi="仿宋_GB2312" w:cs="仿宋_GB2312" w:eastAsia="仿宋_GB2312"/>
              </w:rPr>
              <w:t>优秀（15-20分）：配备专业级3D摄像设备、调色系统、3DMAX等软件，拍摄思路专业，剪辑/动画渲染方案能实现强视觉冲击； - 良好（10-15分）：设备符合3D制作要求，拍摄与后期方案可行，视觉效果较好； - 一般（5-10分）：基础3D设备齐全，方案基本可行，效果普通； - 较差（0-5分）：设备不满足3D制作需求，方案混乱无可行性。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3D拍摄制作方案.docx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拟派项目组人员：拟派项目组织机构设置合理，具备承担创意方案、拍摄制作任务的专业技术人员，根据配备的人员数量、专业、资格及职位安排等进行比较。配备人员数量多、专业能力强、资历丰富的得5-10分；配备人员数量一般、专业能力一般、资历一般的得1-5分；配备人员数量少、专业能力若、资历不足的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项目组人员.docx</w:t>
            </w:r>
          </w:p>
        </w:tc>
      </w:tr>
      <w:tr>
        <w:tc>
          <w:tcPr>
            <w:tcW w:type="dxa" w:w="831"/>
            <w:vMerge/>
          </w:tcPr>
          <w:p/>
        </w:tc>
        <w:tc>
          <w:tcPr>
            <w:tcW w:type="dxa" w:w="1661"/>
          </w:tcPr>
          <w:p>
            <w:pPr>
              <w:pStyle w:val="null3"/>
            </w:pPr>
            <w:r>
              <w:rPr>
                <w:rFonts w:ascii="仿宋_GB2312" w:hAnsi="仿宋_GB2312" w:cs="仿宋_GB2312" w:eastAsia="仿宋_GB2312"/>
              </w:rPr>
              <w:t>实施进度计划措施</w:t>
            </w:r>
          </w:p>
        </w:tc>
        <w:tc>
          <w:tcPr>
            <w:tcW w:type="dxa" w:w="2492"/>
          </w:tcPr>
          <w:p>
            <w:pPr>
              <w:pStyle w:val="null3"/>
            </w:pPr>
            <w:r>
              <w:rPr>
                <w:rFonts w:ascii="仿宋_GB2312" w:hAnsi="仿宋_GB2312" w:cs="仿宋_GB2312" w:eastAsia="仿宋_GB2312"/>
              </w:rPr>
              <w:t>实施进度计划措施：实施进度计划时间合理，进度控制内容完整、切实可行、针对性强，有具体控制措施。内容完整、切实可行、针对性强的得5-9分；内容完整、可行性一般、针对性一般的得3-5分；内容不完整、可行性差、针对性差的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实施进度计划措施.docx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提出完整的服务管理方案，包括服务承诺、服务体系、服务流程 、服务能力，服务内容、应急预案、质量保障措施等。 （1）具备完整的服务体系，方案内容完整，满足本次服务需求， 得（5-9］分； （2）服务方案较为完整，基本满足本次服务需求，得（3-5］分 ; （3）服务方案不完整，不能完全满足本次服务需求，得（0-3］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提供2023年10月1日以来供应商类似项目的业绩合同（以合同签订日期为准），附业绩合同复印件加盖公章，每份1分，满分2分。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价格分统一采用低价优先法计算，即满足采购文件要求且最终报价最低的磋商报价为评标基准价，其价格分为满分。其他供应商的价格分统一按照下列公式计算： 价格分=(评标基准价／最终磋商报价)×20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投标人需提供针对本次项目建设的理解，需对项目背景、目标、内容等进行阐述，形成项目理解概述。详细阐述本项目建设需求，对本项目要拍摄制作宣传片需求的理解进行描述，形成完整的阐述方案。 （1）所阐述的方案理解描述详细、准确，完全符合本次项目要求的，得（5-10］分； （2）所阐述的方案较为详细和准确，基本符合本次项目要求的， 得（3-5］分； （3）所阐述的方案不完整、可行性不高，不满足项目要求的，得 （0-3］分；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需求理解.docx</w:t>
            </w:r>
          </w:p>
        </w:tc>
      </w:tr>
      <w:tr>
        <w:tc>
          <w:tcPr>
            <w:tcW w:type="dxa" w:w="831"/>
            <w:vMerge/>
          </w:tcPr>
          <w:p/>
        </w:tc>
        <w:tc>
          <w:tcPr>
            <w:tcW w:type="dxa" w:w="1661"/>
          </w:tcPr>
          <w:p>
            <w:pPr>
              <w:pStyle w:val="null3"/>
            </w:pPr>
            <w:r>
              <w:rPr>
                <w:rFonts w:ascii="仿宋_GB2312" w:hAnsi="仿宋_GB2312" w:cs="仿宋_GB2312" w:eastAsia="仿宋_GB2312"/>
              </w:rPr>
              <w:t>创意方案</w:t>
            </w:r>
          </w:p>
        </w:tc>
        <w:tc>
          <w:tcPr>
            <w:tcW w:type="dxa" w:w="2492"/>
          </w:tcPr>
          <w:p>
            <w:pPr>
              <w:pStyle w:val="null3"/>
            </w:pPr>
            <w:r>
              <w:rPr>
                <w:rFonts w:ascii="仿宋_GB2312" w:hAnsi="仿宋_GB2312" w:cs="仿宋_GB2312" w:eastAsia="仿宋_GB2312"/>
              </w:rPr>
              <w:t>优秀（15-20分）：精准契合采购方诉求，3D创意突破传统，脚本（含分镜头、配音规划）逻辑闭环、主题鲜明； - 良好（10-15分）：符合项目需求，3D创意较新颖，脚本完整、过渡自然； - 一般（5-10分）：基本满足需求，创意常规，脚本框架完整但细节不足； - 较差（0-5分）：理解偏差，无3D核心创意，脚本不完整。</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创意方案.docx</w:t>
            </w:r>
          </w:p>
        </w:tc>
      </w:tr>
      <w:tr>
        <w:tc>
          <w:tcPr>
            <w:tcW w:type="dxa" w:w="831"/>
            <w:vMerge/>
          </w:tcPr>
          <w:p/>
        </w:tc>
        <w:tc>
          <w:tcPr>
            <w:tcW w:type="dxa" w:w="1661"/>
          </w:tcPr>
          <w:p>
            <w:pPr>
              <w:pStyle w:val="null3"/>
            </w:pPr>
            <w:r>
              <w:rPr>
                <w:rFonts w:ascii="仿宋_GB2312" w:hAnsi="仿宋_GB2312" w:cs="仿宋_GB2312" w:eastAsia="仿宋_GB2312"/>
              </w:rPr>
              <w:t>3D拍摄制作方案</w:t>
            </w:r>
          </w:p>
        </w:tc>
        <w:tc>
          <w:tcPr>
            <w:tcW w:type="dxa" w:w="2492"/>
          </w:tcPr>
          <w:p>
            <w:pPr>
              <w:pStyle w:val="null3"/>
            </w:pPr>
            <w:r>
              <w:rPr>
                <w:rFonts w:ascii="仿宋_GB2312" w:hAnsi="仿宋_GB2312" w:cs="仿宋_GB2312" w:eastAsia="仿宋_GB2312"/>
              </w:rPr>
              <w:t>优秀（15-20分）：配备专业级3D摄像设备、调色系统、3DMAX等软件，拍摄思路专业，剪辑/动画渲染方案能实现强视觉冲击； - 良好（10-15分）：设备符合3D制作要求，拍摄与后期方案可行，视觉效果较好； - 一般（5-10分）：基础3D设备齐全，方案基本可行，效果普通； - 较差（0-5分）：设备不满足3D制作需求，方案混乱无可行性。</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3D拍摄制作方案.docx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拟派项目组人员：拟派项目组织机构设置合理，具备承担创意方案、拍摄制作任务的专业技术人员，根据配备的人员数量、专业、资格及职位安排等进行比较。配备人员数量多、专业能力强、资历丰富的得5-10分；配备人员数量一般、专业能力一般、资历一般的得1-5分；配备人员数量少、专业能力若、资历不足的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项目组人员.docx</w:t>
            </w:r>
          </w:p>
        </w:tc>
      </w:tr>
      <w:tr>
        <w:tc>
          <w:tcPr>
            <w:tcW w:type="dxa" w:w="831"/>
            <w:vMerge/>
          </w:tcPr>
          <w:p/>
        </w:tc>
        <w:tc>
          <w:tcPr>
            <w:tcW w:type="dxa" w:w="1661"/>
          </w:tcPr>
          <w:p>
            <w:pPr>
              <w:pStyle w:val="null3"/>
            </w:pPr>
            <w:r>
              <w:rPr>
                <w:rFonts w:ascii="仿宋_GB2312" w:hAnsi="仿宋_GB2312" w:cs="仿宋_GB2312" w:eastAsia="仿宋_GB2312"/>
              </w:rPr>
              <w:t>实施进度计划措施</w:t>
            </w:r>
          </w:p>
        </w:tc>
        <w:tc>
          <w:tcPr>
            <w:tcW w:type="dxa" w:w="2492"/>
          </w:tcPr>
          <w:p>
            <w:pPr>
              <w:pStyle w:val="null3"/>
            </w:pPr>
            <w:r>
              <w:rPr>
                <w:rFonts w:ascii="仿宋_GB2312" w:hAnsi="仿宋_GB2312" w:cs="仿宋_GB2312" w:eastAsia="仿宋_GB2312"/>
              </w:rPr>
              <w:t>实施进度计划措施：实施进度计划时间合理，进度控制内容完整、切实可行、针对性强，有具体控制措施。内容完整、切实可行、针对性强的得5-9分；内容完整、可行性一般、针对性一般的得3-5分；内容不完整、可行性差、针对性差的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实施进度计划措施.docx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提出完整的服务管理方案，包括服务承诺、服务体系、服务流程 、服务能力，服务内容、应急预案、质量保障措施等。 （1）具备完整的服务体系，方案内容完整，满足本次服务需求， 得（5-9］分； （2）服务方案较为完整，基本满足本次服务需求，得（3-5］分 ; （3）服务方案不完整，不能完全满足本次服务需求，得（0-3］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提供2023年10月1日以来供应商类似项目的业绩合同（以合同签订日期为准），附业绩合同复印件加盖公章，每份1分，满分2分。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价格分统一采用低价优先法计算，即满足采购文件要求且最终报价最低的磋商报价为评标基准价，其价格分为满分。其他供应商的价格分统一按照下列公式计算： 价格分=(评标基准价／最终磋商报价)×20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详见附件：创意方案.docx</w:t>
      </w:r>
    </w:p>
    <w:p>
      <w:pPr>
        <w:pStyle w:val="null3"/>
        <w:ind w:firstLine="960"/>
      </w:pPr>
      <w:r>
        <w:rPr>
          <w:rFonts w:ascii="仿宋_GB2312" w:hAnsi="仿宋_GB2312" w:cs="仿宋_GB2312" w:eastAsia="仿宋_GB2312"/>
        </w:rPr>
        <w:t>详见附件：3D拍摄制作方案.docx</w:t>
      </w:r>
    </w:p>
    <w:p>
      <w:pPr>
        <w:pStyle w:val="null3"/>
        <w:ind w:firstLine="960"/>
      </w:pPr>
      <w:r>
        <w:rPr>
          <w:rFonts w:ascii="仿宋_GB2312" w:hAnsi="仿宋_GB2312" w:cs="仿宋_GB2312" w:eastAsia="仿宋_GB2312"/>
        </w:rPr>
        <w:t>详见附件：项目组人员.docx</w:t>
      </w:r>
    </w:p>
    <w:p>
      <w:pPr>
        <w:pStyle w:val="null3"/>
        <w:ind w:firstLine="960"/>
      </w:pPr>
      <w:r>
        <w:rPr>
          <w:rFonts w:ascii="仿宋_GB2312" w:hAnsi="仿宋_GB2312" w:cs="仿宋_GB2312" w:eastAsia="仿宋_GB2312"/>
        </w:rPr>
        <w:t>详见附件：实施进度计划措施.docx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详见附件：需求理解.docx</w:t>
      </w:r>
    </w:p>
    <w:p>
      <w:pPr>
        <w:pStyle w:val="null3"/>
        <w:ind w:firstLine="960"/>
      </w:pPr>
      <w:r>
        <w:rPr>
          <w:rFonts w:ascii="仿宋_GB2312" w:hAnsi="仿宋_GB2312" w:cs="仿宋_GB2312" w:eastAsia="仿宋_GB2312"/>
        </w:rPr>
        <w:t>详见附件：创意方案.docx</w:t>
      </w:r>
    </w:p>
    <w:p>
      <w:pPr>
        <w:pStyle w:val="null3"/>
        <w:ind w:firstLine="960"/>
      </w:pPr>
      <w:r>
        <w:rPr>
          <w:rFonts w:ascii="仿宋_GB2312" w:hAnsi="仿宋_GB2312" w:cs="仿宋_GB2312" w:eastAsia="仿宋_GB2312"/>
        </w:rPr>
        <w:t>详见附件：3D拍摄制作方案.docx</w:t>
      </w:r>
    </w:p>
    <w:p>
      <w:pPr>
        <w:pStyle w:val="null3"/>
        <w:ind w:firstLine="960"/>
      </w:pPr>
      <w:r>
        <w:rPr>
          <w:rFonts w:ascii="仿宋_GB2312" w:hAnsi="仿宋_GB2312" w:cs="仿宋_GB2312" w:eastAsia="仿宋_GB2312"/>
        </w:rPr>
        <w:t>详见附件：项目组人员.docx</w:t>
      </w:r>
    </w:p>
    <w:p>
      <w:pPr>
        <w:pStyle w:val="null3"/>
        <w:ind w:firstLine="960"/>
      </w:pPr>
      <w:r>
        <w:rPr>
          <w:rFonts w:ascii="仿宋_GB2312" w:hAnsi="仿宋_GB2312" w:cs="仿宋_GB2312" w:eastAsia="仿宋_GB2312"/>
        </w:rPr>
        <w:t>详见附件：实施进度计划措施.docx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