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版本号：SXTW-2025-110520251106001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渭南市中心城市城市更新专项规划</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SXTW-2025-1105</w:t>
      </w:r>
      <w:r>
        <w:br/>
      </w:r>
      <w:r>
        <w:br/>
      </w:r>
      <w:r>
        <w:br/>
      </w:r>
    </w:p>
    <w:p>
      <w:pPr>
        <w:pStyle w:val="null3"/>
        <w:jc w:val="center"/>
        <w:outlineLvl w:val="2"/>
      </w:pPr>
      <w:r>
        <w:rPr>
          <w:rFonts w:ascii="仿宋_GB2312" w:hAnsi="仿宋_GB2312" w:cs="仿宋_GB2312" w:eastAsia="仿宋_GB2312"/>
          <w:sz w:val="28"/>
          <w:b/>
        </w:rPr>
        <w:t>渭南市住房和城乡建设局</w:t>
      </w:r>
    </w:p>
    <w:p>
      <w:pPr>
        <w:pStyle w:val="null3"/>
        <w:jc w:val="center"/>
        <w:outlineLvl w:val="2"/>
      </w:pPr>
      <w:r>
        <w:rPr>
          <w:rFonts w:ascii="仿宋_GB2312" w:hAnsi="仿宋_GB2312" w:cs="仿宋_GB2312" w:eastAsia="仿宋_GB2312"/>
          <w:sz w:val="28"/>
          <w:b/>
        </w:rPr>
        <w:t>陕西侗伟项目管理有限公司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陕西侗伟项目管理有限公司</w:t>
      </w:r>
      <w:r>
        <w:rPr>
          <w:rFonts w:ascii="仿宋_GB2312" w:hAnsi="仿宋_GB2312" w:cs="仿宋_GB2312" w:eastAsia="仿宋_GB2312"/>
        </w:rPr>
        <w:t>（以下简称“代理机构”）受</w:t>
      </w:r>
      <w:r>
        <w:rPr>
          <w:rFonts w:ascii="仿宋_GB2312" w:hAnsi="仿宋_GB2312" w:cs="仿宋_GB2312" w:eastAsia="仿宋_GB2312"/>
        </w:rPr>
        <w:t>渭南市住房和城乡建设局</w:t>
      </w:r>
      <w:r>
        <w:rPr>
          <w:rFonts w:ascii="仿宋_GB2312" w:hAnsi="仿宋_GB2312" w:cs="仿宋_GB2312" w:eastAsia="仿宋_GB2312"/>
        </w:rPr>
        <w:t>委托，拟对</w:t>
      </w:r>
      <w:r>
        <w:rPr>
          <w:rFonts w:ascii="仿宋_GB2312" w:hAnsi="仿宋_GB2312" w:cs="仿宋_GB2312" w:eastAsia="仿宋_GB2312"/>
        </w:rPr>
        <w:t>渭南市中心城市城市更新专项规划</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SXTW-2025-1105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渭南市中心城市城市更新专项规划</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深入贯彻落国家实施城市更新行动的要求，积极探索渭南市城市更新的方法路径，推进实施城市更新行动。渭南市拟从全市层面编制《渭南市中心城市城市更新专项规划》。该规划作为全市开展城市更新的纲领性规划，有利于推动市、区两级联动及部门沟通协作，共同推进城市更新工作，对各区开展城市更新工作具有总体统筹和指导作用。该规划结合近期城市更新发展诉求以及城市现阶段的战略目标和发展方向，制定近期城市更新行动计划，并通过对近期重点更新项目进行包装和梳理，对上应对和承接国家支持城市更新行动的系列优惠政策及专项行动，对下指导各区落实一批具有示范效应的城市更新项目，总结可复制可推广的经验做法。</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合法有效，具有独立承担民事责任的能力且具备向采购人提供相关服务的企业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2、企业资质：供应商应具备行政主管部门颁发的城乡规划编制甲级资质；</w:t>
      </w:r>
    </w:p>
    <w:p>
      <w:pPr>
        <w:pStyle w:val="null3"/>
      </w:pPr>
      <w:r>
        <w:rPr>
          <w:rFonts w:ascii="仿宋_GB2312" w:hAnsi="仿宋_GB2312" w:cs="仿宋_GB2312" w:eastAsia="仿宋_GB2312"/>
        </w:rPr>
        <w:t>3、法定代表人授权书/法定代表人身份证明书：法定代表人直接参加投标的，须提供法定代表人身份证明及其身份证扫描件；法定代表人授权他人参加投标的，须提供法定代表人身份证明及法定代表人授权委托书；</w:t>
      </w:r>
    </w:p>
    <w:p>
      <w:pPr>
        <w:pStyle w:val="null3"/>
      </w:pPr>
      <w:r>
        <w:rPr>
          <w:rFonts w:ascii="仿宋_GB2312" w:hAnsi="仿宋_GB2312" w:cs="仿宋_GB2312" w:eastAsia="仿宋_GB2312"/>
        </w:rPr>
        <w:t>4、财务状况报告：提供具有财务审计资质单位出具的2024年度财务审计报告（若成立时间至投标文件递交截止时间前不足一年的可提供成立后任意时段的资产负债表）或投标文件递交截止时间前六个月内其基本账户银行出具的资信证明（附基本账户证明）或政府采购信用担保机构出具的投标担保函；</w:t>
      </w:r>
    </w:p>
    <w:p>
      <w:pPr>
        <w:pStyle w:val="null3"/>
      </w:pPr>
      <w:r>
        <w:rPr>
          <w:rFonts w:ascii="仿宋_GB2312" w:hAnsi="仿宋_GB2312" w:cs="仿宋_GB2312" w:eastAsia="仿宋_GB2312"/>
        </w:rPr>
        <w:t>5、税收缴纳证明：提供递交投标文件截止之日前一年内任意一个月的依法缴纳税收的相关凭据(时间以税款所属日期为准、增值税、企业所得税至少提供一种)，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6、社会保障资金缴纳证明：提供递交投标文件截止之日前一年内任意一个月的社会保障资金缴存单据或社保机构开具的社会保险参保缴费情况证明；依法不需要缴纳社会保障资金的供应商应提供相关证明文件；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7、具有履行合同的声明：提供具有履行本合同所必需的设备和专业技术能力的说明及承诺；</w:t>
      </w:r>
    </w:p>
    <w:p>
      <w:pPr>
        <w:pStyle w:val="null3"/>
      </w:pPr>
      <w:r>
        <w:rPr>
          <w:rFonts w:ascii="仿宋_GB2312" w:hAnsi="仿宋_GB2312" w:cs="仿宋_GB2312" w:eastAsia="仿宋_GB2312"/>
        </w:rPr>
        <w:t>8、无重大违法记录书面声明：参加政府采购活动前三年内在经营活动中无重大违法记录的书面声明；</w:t>
      </w:r>
    </w:p>
    <w:p>
      <w:pPr>
        <w:pStyle w:val="null3"/>
      </w:pPr>
      <w:r>
        <w:rPr>
          <w:rFonts w:ascii="仿宋_GB2312" w:hAnsi="仿宋_GB2312" w:cs="仿宋_GB2312" w:eastAsia="仿宋_GB2312"/>
        </w:rPr>
        <w:t>9、信誉信息：投标人不得为“信用中国”网站（www.creditchina.gov.cn）中列入重大税收违法失信主体的投标人；不得为“中国执行信息公开网”（http：//zxgk.court.gov.cn）中列入失信被执行人名单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10、无控股、管理承诺：单位负责人为同一人或者存在直接控股、管理关系的不同投标人，不得同时参加同一合同项下的政府采购活动；</w:t>
      </w:r>
    </w:p>
    <w:p>
      <w:pPr>
        <w:pStyle w:val="null3"/>
      </w:pPr>
      <w:r>
        <w:rPr>
          <w:rFonts w:ascii="仿宋_GB2312" w:hAnsi="仿宋_GB2312" w:cs="仿宋_GB2312" w:eastAsia="仿宋_GB2312"/>
        </w:rPr>
        <w:t>11、非联合体投标：提供非联合体声明。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渭南市临渭区车雷大街69号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渭南市住房和城乡建设局经办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13571300385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陕西侗伟项目管理有限公司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渭南市胜利大街与前进路十字西200米（雅馨花园 C座东二楼）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高宇姣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13310933306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开户名称：陕西侗伟项目管理有限公司</w:t>
            </w:r>
          </w:p>
          <w:p>
            <w:pPr>
              <w:pStyle w:val="null3"/>
            </w:pPr>
            <w:r>
              <w:rPr>
                <w:rFonts w:ascii="仿宋_GB2312" w:hAnsi="仿宋_GB2312" w:cs="仿宋_GB2312" w:eastAsia="仿宋_GB2312"/>
              </w:rPr>
              <w:t>开户银行：中国建设银行股份有限公司渭南前进路支行</w:t>
            </w:r>
          </w:p>
          <w:p>
            <w:pPr>
              <w:pStyle w:val="null3"/>
            </w:pPr>
            <w:r>
              <w:rPr>
                <w:rFonts w:ascii="仿宋_GB2312" w:hAnsi="仿宋_GB2312" w:cs="仿宋_GB2312" w:eastAsia="仿宋_GB2312"/>
              </w:rPr>
              <w:t>银行账号：6105 0164 1600 0000 1333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由中标单位支付，按照《国家发展改革委关于进一步放开建设项目专业服务价格的通知》（发改价格﹝2015﹞299号）的要求，参照《国家计委关于印发&lt;招标代理服务收费管理暂行办法&gt;的通知》（计价格〔2002〕1980号）文件规定的计费标准计取。 2.由中标单位在领取中标通知书前，须向采购代理机构一次性支付招标代理服务费。 3.采购代理服务费账户 户 名：陕西侗伟项目管理有限公司 账 号：6105 0164 1400 0000 0348 开户银行：中国建设银行股份有限公司渭南胜利大街支行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渭南市住房和城乡建设局</w:t>
      </w:r>
      <w:r>
        <w:rPr>
          <w:rFonts w:ascii="仿宋_GB2312" w:hAnsi="仿宋_GB2312" w:cs="仿宋_GB2312" w:eastAsia="仿宋_GB2312"/>
        </w:rPr>
        <w:t>和</w:t>
      </w:r>
      <w:r>
        <w:rPr>
          <w:rFonts w:ascii="仿宋_GB2312" w:hAnsi="仿宋_GB2312" w:cs="仿宋_GB2312" w:eastAsia="仿宋_GB2312"/>
        </w:rPr>
        <w:t>陕西侗伟项目管理有限公司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渭南市住房和城乡建设局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陕西侗伟项目管理有限公司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陕西侗伟项目管理有限公司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陕西侗伟项目管理有限公司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陕西侗伟项目管理有限公司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陕西侗伟项目管理有限公司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联系人：高宇姣</w:t>
      </w:r>
    </w:p>
    <w:p>
      <w:pPr>
        <w:pStyle w:val="null3"/>
      </w:pPr>
      <w:r>
        <w:rPr>
          <w:rFonts w:ascii="仿宋_GB2312" w:hAnsi="仿宋_GB2312" w:cs="仿宋_GB2312" w:eastAsia="仿宋_GB2312"/>
        </w:rPr>
        <w:t>联系电话：13310933306</w:t>
      </w:r>
    </w:p>
    <w:p>
      <w:pPr>
        <w:pStyle w:val="null3"/>
      </w:pPr>
      <w:r>
        <w:rPr>
          <w:rFonts w:ascii="仿宋_GB2312" w:hAnsi="仿宋_GB2312" w:cs="仿宋_GB2312" w:eastAsia="仿宋_GB2312"/>
        </w:rPr>
        <w:t>地址：渭南市胜利大街与前进路十字西200米（雅馨花园C座东二楼）</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深入贯彻落国家实施城市更新行动的要求，积极探索渭南市城市更新的方法路径，推进实施城市更新行动。渭南市拟从全市层面编制《渭南市中心城市城市更新专项规划》。该规划作为全市开展城市更新的纲领性规划，有利于推动市、区两级联动及部门沟通协作，共同推进城市更新工作，对各区开展城市更新工作具有总体统筹和指导作用。该规划结合近期城市更新发展诉求以及城市现阶段的战略目标和发展方向，制定近期城市更新行动计划，并通过对近期重点更新项目进行包装和梳理，对上应对和承接国家支持城市更新行动的系列优惠政策及专项行动，对下指导各区落实一批具有示范效应的城市更新项目，总结可复制可推广的经验做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4,000,000.00</w:t>
      </w:r>
    </w:p>
    <w:p>
      <w:pPr>
        <w:pStyle w:val="null3"/>
      </w:pPr>
      <w:r>
        <w:rPr>
          <w:rFonts w:ascii="仿宋_GB2312" w:hAnsi="仿宋_GB2312" w:cs="仿宋_GB2312" w:eastAsia="仿宋_GB2312"/>
        </w:rPr>
        <w:t>采购包最高限价（元）: 4,000,000.00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渭南市中心城市城市更新专项规划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标的名称：渭南市中心城市城市更新专项规划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技术要求名称</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技术参数与性能指标</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采购内容及要求</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服务内容</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.分析现状。梳理城市发展现状问题以及特色资源优势，梳理全市可利用的城市更新存量空间资源，包括老旧居住区、老旧工业区、低效商贸区、历史文化片区、重要公共空间等。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.明确城市更新目标及策略。参考全市国土空间总体规划及相关规划，结合城市发展要求，制定更新规划的目标、原则和思路，明确城市更新策略，提出城市更新的主要内容和方法路径。</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.确定更新空间结构及指引。梳理渭南市城市空间格局，提出近期城市更新的重点地区和重点的结构性空间方案，包括重点更新片区、轴线、节点等。</w:t>
                  </w:r>
                  <w:r>
                    <w:rPr>
                      <w:rFonts w:ascii="仿宋_GB2312" w:hAnsi="仿宋_GB2312" w:cs="仿宋_GB2312" w:eastAsia="仿宋_GB2312"/>
                      <w:sz w:val="21"/>
                    </w:rPr>
                    <w:t>划示</w:t>
                  </w:r>
                  <w:r>
                    <w:rPr>
                      <w:rFonts w:ascii="仿宋_GB2312" w:hAnsi="仿宋_GB2312" w:cs="仿宋_GB2312" w:eastAsia="仿宋_GB2312"/>
                      <w:sz w:val="21"/>
                    </w:rPr>
                    <w:t>城市更新</w:t>
                  </w:r>
                  <w:r>
                    <w:rPr>
                      <w:rFonts w:ascii="仿宋_GB2312" w:hAnsi="仿宋_GB2312" w:cs="仿宋_GB2312" w:eastAsia="仿宋_GB2312"/>
                      <w:sz w:val="21"/>
                    </w:rPr>
                    <w:t>重点片区</w:t>
                  </w:r>
                  <w:r>
                    <w:rPr>
                      <w:rFonts w:ascii="仿宋_GB2312" w:hAnsi="仿宋_GB2312" w:cs="仿宋_GB2312" w:eastAsia="仿宋_GB2312"/>
                      <w:sz w:val="21"/>
                    </w:rPr>
                    <w:t>，</w:t>
                  </w:r>
                  <w:r>
                    <w:rPr>
                      <w:rFonts w:ascii="仿宋_GB2312" w:hAnsi="仿宋_GB2312" w:cs="仿宋_GB2312" w:eastAsia="仿宋_GB2312"/>
                      <w:sz w:val="21"/>
                    </w:rPr>
                    <w:t>提出片区更新指引</w:t>
                  </w:r>
                  <w:r>
                    <w:rPr>
                      <w:rFonts w:ascii="仿宋_GB2312" w:hAnsi="仿宋_GB2312" w:cs="仿宋_GB2312" w:eastAsia="仿宋_GB2312"/>
                      <w:sz w:val="21"/>
                    </w:rPr>
                    <w:t>，</w:t>
                  </w:r>
                  <w:r>
                    <w:rPr>
                      <w:rFonts w:ascii="仿宋_GB2312" w:hAnsi="仿宋_GB2312" w:cs="仿宋_GB2312" w:eastAsia="仿宋_GB2312"/>
                      <w:sz w:val="21"/>
                    </w:rPr>
                    <w:t>明确总体管控和引导要求，指导城市更新重点片区落实重点项目。</w:t>
                  </w:r>
                </w:p>
                <w:p>
                  <w:pPr>
                    <w:pStyle w:val="null3"/>
                    <w:jc w:val="both"/>
                  </w:pPr>
                  <w:r>
                    <w:rPr>
                      <w:rFonts w:ascii="仿宋_GB2312" w:hAnsi="仿宋_GB2312" w:cs="仿宋_GB2312" w:eastAsia="仿宋_GB2312"/>
                      <w:sz w:val="21"/>
                    </w:rPr>
                    <w:t>4.制定更新行动计划及项目库。结合空间方案及政府计划与要求，形成近三至五年城市更新行动计划</w:t>
                  </w:r>
                  <w:r>
                    <w:rPr>
                      <w:rFonts w:ascii="仿宋_GB2312" w:hAnsi="仿宋_GB2312" w:cs="仿宋_GB2312" w:eastAsia="仿宋_GB2312"/>
                      <w:sz w:val="21"/>
                    </w:rPr>
                    <w:t>和近期重点</w:t>
                  </w:r>
                  <w:r>
                    <w:rPr>
                      <w:rFonts w:ascii="仿宋_GB2312" w:hAnsi="仿宋_GB2312" w:cs="仿宋_GB2312" w:eastAsia="仿宋_GB2312"/>
                      <w:sz w:val="21"/>
                    </w:rPr>
                    <w:t>项目库。</w:t>
                  </w:r>
                </w:p>
                <w:p>
                  <w:pPr>
                    <w:pStyle w:val="null3"/>
                    <w:jc w:val="both"/>
                  </w:pPr>
                  <w:r>
                    <w:rPr>
                      <w:rFonts w:ascii="仿宋_GB2312" w:hAnsi="仿宋_GB2312" w:cs="仿宋_GB2312" w:eastAsia="仿宋_GB2312"/>
                      <w:sz w:val="21"/>
                    </w:rPr>
                    <w:t>5.提出政策机制保障建议。梳理渭南市在推进</w:t>
                  </w:r>
                  <w:r>
                    <w:rPr>
                      <w:rFonts w:ascii="仿宋_GB2312" w:hAnsi="仿宋_GB2312" w:cs="仿宋_GB2312" w:eastAsia="仿宋_GB2312"/>
                      <w:sz w:val="21"/>
                    </w:rPr>
                    <w:t>城市更新工作中的政策堵点和问题</w:t>
                  </w:r>
                  <w:r>
                    <w:rPr>
                      <w:rFonts w:ascii="仿宋_GB2312" w:hAnsi="仿宋_GB2312" w:cs="仿宋_GB2312" w:eastAsia="仿宋_GB2312"/>
                      <w:sz w:val="21"/>
                    </w:rPr>
                    <w:t>，提出完善相关政策机制的建议，</w:t>
                  </w:r>
                  <w:r>
                    <w:rPr>
                      <w:rFonts w:ascii="仿宋_GB2312" w:hAnsi="仿宋_GB2312" w:cs="仿宋_GB2312" w:eastAsia="仿宋_GB2312"/>
                      <w:sz w:val="21"/>
                    </w:rPr>
                    <w:t>确保城市更新工作有序推进。</w:t>
                  </w:r>
                </w:p>
                <w:p>
                  <w:pPr>
                    <w:pStyle w:val="null3"/>
                    <w:jc w:val="both"/>
                  </w:pPr>
                  <w:r>
                    <w:rPr>
                      <w:rFonts w:ascii="仿宋_GB2312" w:hAnsi="仿宋_GB2312" w:cs="仿宋_GB2312" w:eastAsia="仿宋_GB2312"/>
                      <w:sz w:val="21"/>
                      <w:b/>
                    </w:rPr>
                    <w:t>二、规划范围</w:t>
                  </w:r>
                </w:p>
                <w:p>
                  <w:pPr>
                    <w:pStyle w:val="null3"/>
                    <w:jc w:val="both"/>
                  </w:pPr>
                  <w:r>
                    <w:rPr>
                      <w:rFonts w:ascii="仿宋_GB2312" w:hAnsi="仿宋_GB2312" w:cs="仿宋_GB2312" w:eastAsia="仿宋_GB2312"/>
                      <w:sz w:val="21"/>
                    </w:rPr>
                    <w:t>服务范围包括临渭区、高新区和华州区的重点区域。</w:t>
                  </w:r>
                </w:p>
                <w:p>
                  <w:pPr>
                    <w:pStyle w:val="null3"/>
                    <w:jc w:val="both"/>
                  </w:pPr>
                  <w:r>
                    <w:rPr>
                      <w:rFonts w:ascii="仿宋_GB2312" w:hAnsi="仿宋_GB2312" w:cs="仿宋_GB2312" w:eastAsia="仿宋_GB2312"/>
                      <w:sz w:val="21"/>
                      <w:b/>
                    </w:rPr>
                    <w:t>三、拟投入本项目的费用测算</w:t>
                  </w:r>
                </w:p>
                <w:p>
                  <w:pPr>
                    <w:pStyle w:val="null3"/>
                    <w:jc w:val="both"/>
                  </w:pPr>
                  <w:r>
                    <w:rPr>
                      <w:rFonts w:ascii="仿宋_GB2312" w:hAnsi="仿宋_GB2312" w:cs="仿宋_GB2312" w:eastAsia="仿宋_GB2312"/>
                      <w:sz w:val="21"/>
                    </w:rPr>
                    <w:t>本次预算费用包括完成本次服务的所有费用</w:t>
                  </w:r>
                  <w:r>
                    <w:rPr>
                      <w:rFonts w:ascii="仿宋_GB2312" w:hAnsi="仿宋_GB2312" w:cs="仿宋_GB2312" w:eastAsia="仿宋_GB2312"/>
                      <w:sz w:val="21"/>
                    </w:rPr>
                    <w:t>,包括但不限于项目人工费、机械费、验收费、管理费、税金、利润、招标文件明示及暗示所有风险等所有费用,服务期内采购人不再增加任何费用。</w:t>
                  </w:r>
                  <w:r>
                    <w:rPr>
                      <w:rFonts w:ascii="仿宋_GB2312" w:hAnsi="仿宋_GB2312" w:cs="仿宋_GB2312" w:eastAsia="仿宋_GB2312"/>
                      <w:sz w:val="19"/>
                    </w:rPr>
                    <w:t xml:space="preserve"> </w:t>
                  </w:r>
                </w:p>
                <w:p>
                  <w:pPr>
                    <w:pStyle w:val="null3"/>
                    <w:jc w:val="both"/>
                  </w:pPr>
                  <w:r>
                    <w:rPr>
                      <w:rFonts w:ascii="仿宋_GB2312" w:hAnsi="仿宋_GB2312" w:cs="仿宋_GB2312" w:eastAsia="仿宋_GB2312"/>
                      <w:sz w:val="21"/>
                      <w:b/>
                    </w:rPr>
                    <w:t>四、服务质量、标准、期限、效率等要求</w:t>
                  </w:r>
                </w:p>
                <w:p>
                  <w:pPr>
                    <w:pStyle w:val="null3"/>
                    <w:jc w:val="both"/>
                  </w:pPr>
                  <w:r>
                    <w:rPr>
                      <w:rFonts w:ascii="仿宋_GB2312" w:hAnsi="仿宋_GB2312" w:cs="仿宋_GB2312" w:eastAsia="仿宋_GB2312"/>
                      <w:sz w:val="21"/>
                    </w:rPr>
                    <w:t>需执行的国家相关标准、行业标准、地方标准或者其他标准、规范</w:t>
                  </w:r>
                  <w:r>
                    <w:rPr>
                      <w:rFonts w:ascii="仿宋_GB2312" w:hAnsi="仿宋_GB2312" w:cs="仿宋_GB2312" w:eastAsia="仿宋_GB2312"/>
                      <w:sz w:val="21"/>
                    </w:rPr>
                    <w:t>,则统一执行最新标准、规范,符合项目实际采购需要,符合项目实施要求。</w:t>
                  </w:r>
                </w:p>
                <w:p>
                  <w:pPr>
                    <w:pStyle w:val="null3"/>
                    <w:jc w:val="both"/>
                  </w:pPr>
                  <w:r>
                    <w:rPr>
                      <w:rFonts w:ascii="仿宋_GB2312" w:hAnsi="仿宋_GB2312" w:cs="仿宋_GB2312" w:eastAsia="仿宋_GB2312"/>
                      <w:sz w:val="21"/>
                      <w:b/>
                    </w:rPr>
                    <w:t>五、成果内容</w:t>
                  </w:r>
                </w:p>
                <w:p>
                  <w:pPr>
                    <w:pStyle w:val="null3"/>
                    <w:jc w:val="both"/>
                  </w:pPr>
                  <w:r>
                    <w:rPr>
                      <w:rFonts w:ascii="仿宋_GB2312" w:hAnsi="仿宋_GB2312" w:cs="仿宋_GB2312" w:eastAsia="仿宋_GB2312"/>
                      <w:sz w:val="21"/>
                    </w:rPr>
                    <w:t>形成相关图文成果</w:t>
                  </w:r>
                  <w:r>
                    <w:rPr>
                      <w:rFonts w:ascii="仿宋_GB2312" w:hAnsi="仿宋_GB2312" w:cs="仿宋_GB2312" w:eastAsia="仿宋_GB2312"/>
                      <w:sz w:val="21"/>
                    </w:rPr>
                    <w:t>:纸质版资料6套；电子版资料2套。</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岗位配备齐全、专业搭配合理，工作经验和能力充分满足本项目建设需要</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满足本项目建设需要</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完成规划编制初稿并提交甲方</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形成规划成果并通过专家评审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提交最终成果并经甲方验收合格后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政府采购供应商拒绝政府采购领域商业贿赂承诺书.pdf 资格证明文件.pdf</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合法有效，具有独立承担民事责任的能力且具备向采购人提供相关服务的企业法人、其他组织或自然人；出具合法有效的营业执照或事业单位法人证书等国家规定的相关证明，自然人参与的提供其身份证明。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供应商应具备行政主管部门颁发的城乡规划编制甲级资质；</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法定代表人授权书/法定代表人身份证明书</w:t>
            </w:r>
          </w:p>
        </w:tc>
        <w:tc>
          <w:tcPr>
            <w:tcW w:type="dxa" w:w="3322"/>
          </w:tcPr>
          <w:p>
            <w:pPr>
              <w:pStyle w:val="null3"/>
            </w:pPr>
            <w:r>
              <w:rPr>
                <w:rFonts w:ascii="仿宋_GB2312" w:hAnsi="仿宋_GB2312" w:cs="仿宋_GB2312" w:eastAsia="仿宋_GB2312"/>
              </w:rPr>
              <w:t>法定代表人直接参加投标的，须提供法定代表人身份证明及其身份证扫描件；法定代表人授权他人参加投标的，须提供法定代表人身份证明及法定代表人授权委托书；</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财务审计报告（若成立时间至投标文件递交截止时间前不足一年的可提供成立后任意时段的资产负债表）或投标文件递交截止时间前六个月内其基本账户银行出具的资信证明（附基本账户证明）或政府采购信用担保机构出具的投标担保函；</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增值税、企业所得税至少提供一种)，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信誉信息</w:t>
            </w:r>
          </w:p>
        </w:tc>
        <w:tc>
          <w:tcPr>
            <w:tcW w:type="dxa" w:w="3322"/>
          </w:tcPr>
          <w:p>
            <w:pPr>
              <w:pStyle w:val="null3"/>
            </w:pPr>
            <w:r>
              <w:rPr>
                <w:rFonts w:ascii="仿宋_GB2312" w:hAnsi="仿宋_GB2312" w:cs="仿宋_GB2312" w:eastAsia="仿宋_GB2312"/>
              </w:rPr>
              <w:t>投标人不得为“信用中国”网站（www.creditchina.gov.cn）中列入重大税收违法失信主体的投标人；不得为“中国执行信息公开网”（http：//zxgk.court.gov.cn）中列入失信被执行人名单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无控股、管理承诺</w:t>
            </w:r>
          </w:p>
        </w:tc>
        <w:tc>
          <w:tcPr>
            <w:tcW w:type="dxa" w:w="3322"/>
          </w:tcPr>
          <w:p>
            <w:pPr>
              <w:pStyle w:val="null3"/>
            </w:pPr>
            <w:r>
              <w:rPr>
                <w:rFonts w:ascii="仿宋_GB2312" w:hAnsi="仿宋_GB2312" w:cs="仿宋_GB2312" w:eastAsia="仿宋_GB2312"/>
              </w:rPr>
              <w:t>单位负责人为同一人或者存在直接控股、管理关系的不同投标人，不得同时参加同一合同项下的政府采购活动；</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提供非联合体声明。</w:t>
            </w:r>
          </w:p>
        </w:tc>
        <w:tc>
          <w:tcPr>
            <w:tcW w:type="dxa" w:w="1661"/>
          </w:tcPr>
          <w:p>
            <w:pPr>
              <w:pStyle w:val="null3"/>
            </w:pPr>
            <w:r>
              <w:rPr>
                <w:rFonts w:ascii="仿宋_GB2312" w:hAnsi="仿宋_GB2312" w:cs="仿宋_GB2312" w:eastAsia="仿宋_GB2312"/>
              </w:rPr>
              <w:t>资格证明文件.pdf</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投标人认为需要提供的其他资料.pdf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与营业执照或其他主体证明资料一致</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投标文件按招标文件要求进行签署、盖章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报价唯一且未超过本项目最高限价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满足招标文件规定</w:t>
            </w:r>
          </w:p>
        </w:tc>
        <w:tc>
          <w:tcPr>
            <w:tcW w:type="dxa" w:w="1661"/>
          </w:tcPr>
          <w:p>
            <w:pPr>
              <w:pStyle w:val="null3"/>
            </w:pPr>
            <w:r>
              <w:rPr>
                <w:rFonts w:ascii="仿宋_GB2312" w:hAnsi="仿宋_GB2312" w:cs="仿宋_GB2312" w:eastAsia="仿宋_GB2312"/>
              </w:rPr>
              <w:t>商务应答表.pdf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对技术和商务要求响应</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商务应答表.pdf 服务内容及服务要求应答表.pdf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投标保证金.pdf</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项目理解与分析</w:t>
            </w:r>
          </w:p>
        </w:tc>
        <w:tc>
          <w:tcPr>
            <w:tcW w:type="dxa" w:w="2492"/>
          </w:tcPr>
          <w:p>
            <w:pPr>
              <w:pStyle w:val="null3"/>
            </w:pPr>
            <w:r>
              <w:rPr>
                <w:rFonts w:ascii="仿宋_GB2312" w:hAnsi="仿宋_GB2312" w:cs="仿宋_GB2312" w:eastAsia="仿宋_GB2312"/>
              </w:rPr>
              <w:t>分析国家、省、市城市更新的最新要求，分析本次城市更新专项规划的工作背景。 对国家、省、市城市更新工作的最新要求理解深刻，对本项目工作背景剖析到位的，根据提供的内容得4-6分； 对国家、省、市城市更新工作的最新要求理解较为深刻，对本项目工作背景剖析较为到位的，根据提供的内容得2-3.9分； 对国家、省、市城市更新工作的最新要求理解不够深刻，对本次渭南市中心城市城市更新专项规划工作背景剖析不够到位的，根据提供的内容得1-1.9分；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项目理解与分析.pdf</w:t>
            </w:r>
          </w:p>
        </w:tc>
      </w:tr>
      <w:tr>
        <w:tc>
          <w:tcPr>
            <w:tcW w:type="dxa" w:w="831"/>
            <w:vMerge/>
          </w:tcPr>
          <w:p/>
        </w:tc>
        <w:tc>
          <w:tcPr>
            <w:tcW w:type="dxa" w:w="1661"/>
          </w:tcPr>
          <w:p>
            <w:pPr>
              <w:pStyle w:val="null3"/>
            </w:pPr>
            <w:r>
              <w:rPr>
                <w:rFonts w:ascii="仿宋_GB2312" w:hAnsi="仿宋_GB2312" w:cs="仿宋_GB2312" w:eastAsia="仿宋_GB2312"/>
              </w:rPr>
              <w:t>现状研判与潜力评估</w:t>
            </w:r>
          </w:p>
        </w:tc>
        <w:tc>
          <w:tcPr>
            <w:tcW w:type="dxa" w:w="2492"/>
          </w:tcPr>
          <w:p>
            <w:pPr>
              <w:pStyle w:val="null3"/>
            </w:pPr>
            <w:r>
              <w:rPr>
                <w:rFonts w:ascii="仿宋_GB2312" w:hAnsi="仿宋_GB2312" w:cs="仿宋_GB2312" w:eastAsia="仿宋_GB2312"/>
              </w:rPr>
              <w:t>分析城市社会经济、资源状况、民生诉求、资源状况、价值特色等现状情况，总结梳理现状问题，对国土空间规划等上位规划及其他相关规划进行解读，进行更新潜力评估与更新潜力空间梳理。 满足以上4方面，且对现状与上位规划了解充分，更新潜力梳理分析准确的，根据提供的内容得8-10分； 满足以上4方面，对现状与上位规划有部分了解，更新潜力梳理分析相对准确的，根据提供的内容得5-7.9分； 对现状与上位规划了解不充足且把握不充分的，缺少更新潜力梳理分析或梳理分析不准确的，根据提供的内容得1-4.9分；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现状研判与潜力评估.pdf</w:t>
            </w:r>
          </w:p>
        </w:tc>
      </w:tr>
      <w:tr>
        <w:tc>
          <w:tcPr>
            <w:tcW w:type="dxa" w:w="831"/>
            <w:vMerge/>
          </w:tcPr>
          <w:p/>
        </w:tc>
        <w:tc>
          <w:tcPr>
            <w:tcW w:type="dxa" w:w="1661"/>
          </w:tcPr>
          <w:p>
            <w:pPr>
              <w:pStyle w:val="null3"/>
            </w:pPr>
            <w:r>
              <w:rPr>
                <w:rFonts w:ascii="仿宋_GB2312" w:hAnsi="仿宋_GB2312" w:cs="仿宋_GB2312" w:eastAsia="仿宋_GB2312"/>
              </w:rPr>
              <w:t>工作技术路线</w:t>
            </w:r>
          </w:p>
        </w:tc>
        <w:tc>
          <w:tcPr>
            <w:tcW w:type="dxa" w:w="2492"/>
          </w:tcPr>
          <w:p>
            <w:pPr>
              <w:pStyle w:val="null3"/>
            </w:pPr>
            <w:r>
              <w:rPr>
                <w:rFonts w:ascii="仿宋_GB2312" w:hAnsi="仿宋_GB2312" w:cs="仿宋_GB2312" w:eastAsia="仿宋_GB2312"/>
              </w:rPr>
              <w:t>制定本项目的技术路线。 工作技术路线完整、可行、合理，研究方法适用的，根据提供的内容得3.6-5分； 工作技术路线较合理，研究方法较适用的，根据提供的内容得2.6-3.5分； 工作技术路线不合理，研究方法不适用，可行性较差的，根据提供的内容得1-2.5分；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工作技术路线.pdf</w:t>
            </w:r>
          </w:p>
        </w:tc>
      </w:tr>
      <w:tr>
        <w:tc>
          <w:tcPr>
            <w:tcW w:type="dxa" w:w="831"/>
            <w:vMerge/>
          </w:tcPr>
          <w:p/>
        </w:tc>
        <w:tc>
          <w:tcPr>
            <w:tcW w:type="dxa" w:w="1661"/>
          </w:tcPr>
          <w:p>
            <w:pPr>
              <w:pStyle w:val="null3"/>
            </w:pPr>
            <w:r>
              <w:rPr>
                <w:rFonts w:ascii="仿宋_GB2312" w:hAnsi="仿宋_GB2312" w:cs="仿宋_GB2312" w:eastAsia="仿宋_GB2312"/>
              </w:rPr>
              <w:t>更新目标与更新任务</w:t>
            </w:r>
          </w:p>
        </w:tc>
        <w:tc>
          <w:tcPr>
            <w:tcW w:type="dxa" w:w="2492"/>
          </w:tcPr>
          <w:p>
            <w:pPr>
              <w:pStyle w:val="null3"/>
            </w:pPr>
            <w:r>
              <w:rPr>
                <w:rFonts w:ascii="仿宋_GB2312" w:hAnsi="仿宋_GB2312" w:cs="仿宋_GB2312" w:eastAsia="仿宋_GB2312"/>
              </w:rPr>
              <w:t>基于现状认知提出总体目标定位与更新重点任务。 满足以上2个方面，总体目标定位研究深入且表达准确合理，更新任务明晰可行的，根据提供的内容得8-10分； 满足以上2个方面，总体目标定位研究较为深入且表达较为合理，更新任务较为可行的，根据提供的内容得5-7.9分； 总体目标定位不清晰，缺少更新任务制定或更新任务与现实不符的，根据提供的内容得1-4.9分；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更新目标与更新任务.pdf</w:t>
            </w:r>
          </w:p>
        </w:tc>
      </w:tr>
      <w:tr>
        <w:tc>
          <w:tcPr>
            <w:tcW w:type="dxa" w:w="831"/>
            <w:vMerge/>
          </w:tcPr>
          <w:p/>
        </w:tc>
        <w:tc>
          <w:tcPr>
            <w:tcW w:type="dxa" w:w="1661"/>
          </w:tcPr>
          <w:p>
            <w:pPr>
              <w:pStyle w:val="null3"/>
            </w:pPr>
            <w:r>
              <w:rPr>
                <w:rFonts w:ascii="仿宋_GB2312" w:hAnsi="仿宋_GB2312" w:cs="仿宋_GB2312" w:eastAsia="仿宋_GB2312"/>
              </w:rPr>
              <w:t>空间方案及指引</w:t>
            </w:r>
          </w:p>
        </w:tc>
        <w:tc>
          <w:tcPr>
            <w:tcW w:type="dxa" w:w="2492"/>
          </w:tcPr>
          <w:p>
            <w:pPr>
              <w:pStyle w:val="null3"/>
            </w:pPr>
            <w:r>
              <w:rPr>
                <w:rFonts w:ascii="仿宋_GB2312" w:hAnsi="仿宋_GB2312" w:cs="仿宋_GB2312" w:eastAsia="仿宋_GB2312"/>
              </w:rPr>
              <w:t>结合城市设计，提出更新空间结构方案，并划定重点更新片区，提出分类更新指引。 满足以上4方面，设计方案与空间结构方案可行合理，重点更新片区划定且指引得当的，根据提供的内容得8-10分； 满足以上4方面，设计方案与空间结构方案一般，重点更新片区划定与分类指引一般合理的，根据提供的内容得5-7.9分； 缺少设计方案与空间结构方案或方案不合理，重点更新片区划定与分类指引不合理或缺少更新片区划定与分类指引的，根据提供的内容得1-4.9分；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空间方案及指引.pdf</w:t>
            </w:r>
          </w:p>
        </w:tc>
      </w:tr>
      <w:tr>
        <w:tc>
          <w:tcPr>
            <w:tcW w:type="dxa" w:w="831"/>
            <w:vMerge/>
          </w:tcPr>
          <w:p/>
        </w:tc>
        <w:tc>
          <w:tcPr>
            <w:tcW w:type="dxa" w:w="1661"/>
          </w:tcPr>
          <w:p>
            <w:pPr>
              <w:pStyle w:val="null3"/>
            </w:pPr>
            <w:r>
              <w:rPr>
                <w:rFonts w:ascii="仿宋_GB2312" w:hAnsi="仿宋_GB2312" w:cs="仿宋_GB2312" w:eastAsia="仿宋_GB2312"/>
              </w:rPr>
              <w:t>更新项目库建议</w:t>
            </w:r>
          </w:p>
        </w:tc>
        <w:tc>
          <w:tcPr>
            <w:tcW w:type="dxa" w:w="2492"/>
          </w:tcPr>
          <w:p>
            <w:pPr>
              <w:pStyle w:val="null3"/>
            </w:pPr>
            <w:r>
              <w:rPr>
                <w:rFonts w:ascii="仿宋_GB2312" w:hAnsi="仿宋_GB2312" w:cs="仿宋_GB2312" w:eastAsia="仿宋_GB2312"/>
              </w:rPr>
              <w:t>构建城市更新项目库且划定近期重点项目，提出项目管理机制建议。 满足以上2方面，且项目库详实且切实可行，提出合理项目管理机制建设的，根据提供的内容得6-8分； 满足以上2方面，且项目库较完整，项目管理机制较完善的，根据提供的内容得3-5.9分； 缺少项目库梳理工作或项目库内容不完整，项目管理机制不完善或缺少项目管理机制的，根据提供的内容得1-2.9分； 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更新项目库建议.pdf</w:t>
            </w:r>
          </w:p>
        </w:tc>
      </w:tr>
      <w:tr>
        <w:tc>
          <w:tcPr>
            <w:tcW w:type="dxa" w:w="831"/>
            <w:vMerge/>
          </w:tcPr>
          <w:p/>
        </w:tc>
        <w:tc>
          <w:tcPr>
            <w:tcW w:type="dxa" w:w="1661"/>
          </w:tcPr>
          <w:p>
            <w:pPr>
              <w:pStyle w:val="null3"/>
            </w:pPr>
            <w:r>
              <w:rPr>
                <w:rFonts w:ascii="仿宋_GB2312" w:hAnsi="仿宋_GB2312" w:cs="仿宋_GB2312" w:eastAsia="仿宋_GB2312"/>
              </w:rPr>
              <w:t>政策机制优化建议</w:t>
            </w:r>
          </w:p>
        </w:tc>
        <w:tc>
          <w:tcPr>
            <w:tcW w:type="dxa" w:w="2492"/>
          </w:tcPr>
          <w:p>
            <w:pPr>
              <w:pStyle w:val="null3"/>
            </w:pPr>
            <w:r>
              <w:rPr>
                <w:rFonts w:ascii="仿宋_GB2312" w:hAnsi="仿宋_GB2312" w:cs="仿宋_GB2312" w:eastAsia="仿宋_GB2312"/>
              </w:rPr>
              <w:t>提出城市更新政策体系与机制优化的建议，包括工作组织、资金筹措、规划实施、政策体系等方面。 政策机制建议与现有工作机制结合紧密，具有创新性和针对性的，根据提供的内容得4-6分； 政策机制建议与现有工作机制结合一般，内容不够深入的，根据提供的内容得2-3.9分； 政策机制建议不合理的，根据提供的内容得1-1.9分；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政策机制优化建议.pdf</w:t>
            </w:r>
          </w:p>
        </w:tc>
      </w:tr>
      <w:tr>
        <w:tc>
          <w:tcPr>
            <w:tcW w:type="dxa" w:w="831"/>
            <w:vMerge/>
          </w:tcPr>
          <w:p/>
        </w:tc>
        <w:tc>
          <w:tcPr>
            <w:tcW w:type="dxa" w:w="1661"/>
          </w:tcPr>
          <w:p>
            <w:pPr>
              <w:pStyle w:val="null3"/>
            </w:pPr>
            <w:r>
              <w:rPr>
                <w:rFonts w:ascii="仿宋_GB2312" w:hAnsi="仿宋_GB2312" w:cs="仿宋_GB2312" w:eastAsia="仿宋_GB2312"/>
              </w:rPr>
              <w:t>工作进度计划及保障措施</w:t>
            </w:r>
          </w:p>
        </w:tc>
        <w:tc>
          <w:tcPr>
            <w:tcW w:type="dxa" w:w="2492"/>
          </w:tcPr>
          <w:p>
            <w:pPr>
              <w:pStyle w:val="null3"/>
            </w:pPr>
            <w:r>
              <w:rPr>
                <w:rFonts w:ascii="仿宋_GB2312" w:hAnsi="仿宋_GB2312" w:cs="仿宋_GB2312" w:eastAsia="仿宋_GB2312"/>
              </w:rPr>
              <w:t>制定进度计划、人员分工、工作流程、保障措施。 工作进度计划安排合理、分工明确、工作流程清晰可行、保障措施完善的，根据提供的内容得3.6-5分； 工作进度计划较合理，工作有分工，工作流程较清晰，保障措施较完善的，根据提供的内容得2.6-3.5分； 工作安排欠缺的，根据提供的内容得1-2.5分；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工作进度计划及保障措施.pdf</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明确项目质量保障措施。 质量保证措施全面细致，保障体系科学合理的，根据提供的内容得3.6-5分； 质量保证措施较全面，有保障体系的，根据提供的内容得2.6-3.5分； 质量保证不到位的，根据提供的内容得1-2.5分；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质量保障措施.pdf</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1、拟派项目负责人具有国家注册城乡规划师并具有城乡规划类相关专业高级或以上职称得4分； 2、拟派项目技术团队成员中(不含项目负责人)具有国家注册城乡规划师或城乡规划类相关专业高级或以上职称的，每提供一个得1分；具有城乡规划类相关专业中级职称的，每提供一个得0.5分。 本项共9分。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项目组织机构.pdf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供应商具有2022年至今承担过（以合同签订时间或中标通知书发出时间为准）的类似项目业绩，每提供一个计1.5分，满分6分；未提供不得分。 注：类似项目业绩以投标文件中提供加盖投标人公章的合同或中标通知书复印件为准。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类似项目业绩表.pdf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满足招标文件要求且投标总报价最低的投标人的价格为评标基准价，其价格分为满分20分，其他各投标人的投标报价得分按下列公式计算：投标报价得分=（投标基准价/投标报价）×20%×100。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详见附件：政府采购供应商拒绝政府采购领域商业贿赂承诺书.pdf</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详见附件：商务应答表.pdf</w:t>
      </w:r>
    </w:p>
    <w:p>
      <w:pPr>
        <w:pStyle w:val="null3"/>
        <w:ind w:firstLine="960"/>
      </w:pPr>
      <w:r>
        <w:rPr>
          <w:rFonts w:ascii="仿宋_GB2312" w:hAnsi="仿宋_GB2312" w:cs="仿宋_GB2312" w:eastAsia="仿宋_GB2312"/>
        </w:rPr>
        <w:t>详见附件：投标保证金.pdf</w:t>
      </w:r>
    </w:p>
    <w:p>
      <w:pPr>
        <w:pStyle w:val="null3"/>
        <w:ind w:firstLine="960"/>
      </w:pPr>
      <w:r>
        <w:rPr>
          <w:rFonts w:ascii="仿宋_GB2312" w:hAnsi="仿宋_GB2312" w:cs="仿宋_GB2312" w:eastAsia="仿宋_GB2312"/>
        </w:rPr>
        <w:t>详见附件：项目理解与分析.pdf</w:t>
      </w:r>
    </w:p>
    <w:p>
      <w:pPr>
        <w:pStyle w:val="null3"/>
        <w:ind w:firstLine="960"/>
      </w:pPr>
      <w:r>
        <w:rPr>
          <w:rFonts w:ascii="仿宋_GB2312" w:hAnsi="仿宋_GB2312" w:cs="仿宋_GB2312" w:eastAsia="仿宋_GB2312"/>
        </w:rPr>
        <w:t>详见附件：现状研判与潜力评估.pdf</w:t>
      </w:r>
    </w:p>
    <w:p>
      <w:pPr>
        <w:pStyle w:val="null3"/>
        <w:ind w:firstLine="960"/>
      </w:pPr>
      <w:r>
        <w:rPr>
          <w:rFonts w:ascii="仿宋_GB2312" w:hAnsi="仿宋_GB2312" w:cs="仿宋_GB2312" w:eastAsia="仿宋_GB2312"/>
        </w:rPr>
        <w:t>详见附件：工作技术路线.pdf</w:t>
      </w:r>
    </w:p>
    <w:p>
      <w:pPr>
        <w:pStyle w:val="null3"/>
        <w:ind w:firstLine="960"/>
      </w:pPr>
      <w:r>
        <w:rPr>
          <w:rFonts w:ascii="仿宋_GB2312" w:hAnsi="仿宋_GB2312" w:cs="仿宋_GB2312" w:eastAsia="仿宋_GB2312"/>
        </w:rPr>
        <w:t>详见附件：更新目标与更新任务.pdf</w:t>
      </w:r>
    </w:p>
    <w:p>
      <w:pPr>
        <w:pStyle w:val="null3"/>
        <w:ind w:firstLine="960"/>
      </w:pPr>
      <w:r>
        <w:rPr>
          <w:rFonts w:ascii="仿宋_GB2312" w:hAnsi="仿宋_GB2312" w:cs="仿宋_GB2312" w:eastAsia="仿宋_GB2312"/>
        </w:rPr>
        <w:t>详见附件：空间方案及指引.pdf</w:t>
      </w:r>
    </w:p>
    <w:p>
      <w:pPr>
        <w:pStyle w:val="null3"/>
        <w:ind w:firstLine="960"/>
      </w:pPr>
      <w:r>
        <w:rPr>
          <w:rFonts w:ascii="仿宋_GB2312" w:hAnsi="仿宋_GB2312" w:cs="仿宋_GB2312" w:eastAsia="仿宋_GB2312"/>
        </w:rPr>
        <w:t>详见附件：更新项目库建议.pdf</w:t>
      </w:r>
    </w:p>
    <w:p>
      <w:pPr>
        <w:pStyle w:val="null3"/>
        <w:ind w:firstLine="960"/>
      </w:pPr>
      <w:r>
        <w:rPr>
          <w:rFonts w:ascii="仿宋_GB2312" w:hAnsi="仿宋_GB2312" w:cs="仿宋_GB2312" w:eastAsia="仿宋_GB2312"/>
        </w:rPr>
        <w:t>详见附件：政策机制优化建议.pdf</w:t>
      </w:r>
    </w:p>
    <w:p>
      <w:pPr>
        <w:pStyle w:val="null3"/>
        <w:ind w:firstLine="960"/>
      </w:pPr>
      <w:r>
        <w:rPr>
          <w:rFonts w:ascii="仿宋_GB2312" w:hAnsi="仿宋_GB2312" w:cs="仿宋_GB2312" w:eastAsia="仿宋_GB2312"/>
        </w:rPr>
        <w:t>详见附件：工作进度计划及保障措施.pdf</w:t>
      </w:r>
    </w:p>
    <w:p>
      <w:pPr>
        <w:pStyle w:val="null3"/>
        <w:ind w:firstLine="960"/>
      </w:pPr>
      <w:r>
        <w:rPr>
          <w:rFonts w:ascii="仿宋_GB2312" w:hAnsi="仿宋_GB2312" w:cs="仿宋_GB2312" w:eastAsia="仿宋_GB2312"/>
        </w:rPr>
        <w:t>详见附件：质量保障措施.pdf</w:t>
      </w:r>
    </w:p>
    <w:p>
      <w:pPr>
        <w:pStyle w:val="null3"/>
        <w:ind w:firstLine="960"/>
      </w:pPr>
      <w:r>
        <w:rPr>
          <w:rFonts w:ascii="仿宋_GB2312" w:hAnsi="仿宋_GB2312" w:cs="仿宋_GB2312" w:eastAsia="仿宋_GB2312"/>
        </w:rPr>
        <w:t>详见附件：项目组织机构.pdf</w:t>
      </w:r>
    </w:p>
    <w:p>
      <w:pPr>
        <w:pStyle w:val="null3"/>
        <w:ind w:firstLine="960"/>
      </w:pPr>
      <w:r>
        <w:rPr>
          <w:rFonts w:ascii="仿宋_GB2312" w:hAnsi="仿宋_GB2312" w:cs="仿宋_GB2312" w:eastAsia="仿宋_GB2312"/>
        </w:rPr>
        <w:t>详见附件：类似项目业绩表.pdf</w:t>
      </w:r>
    </w:p>
    <w:p>
      <w:pPr>
        <w:pStyle w:val="null3"/>
        <w:ind w:firstLine="960"/>
      </w:pPr>
      <w:r>
        <w:rPr>
          <w:rFonts w:ascii="仿宋_GB2312" w:hAnsi="仿宋_GB2312" w:cs="仿宋_GB2312" w:eastAsia="仿宋_GB2312"/>
        </w:rPr>
        <w:t>详见附件：服务内容及服务要求应答表.pdf</w:t>
      </w:r>
    </w:p>
    <w:p>
      <w:pPr>
        <w:pStyle w:val="null3"/>
        <w:ind w:firstLine="960"/>
      </w:pPr>
      <w:r>
        <w:rPr>
          <w:rFonts w:ascii="仿宋_GB2312" w:hAnsi="仿宋_GB2312" w:cs="仿宋_GB2312" w:eastAsia="仿宋_GB2312"/>
        </w:rPr>
        <w:t>详见附件：投标人认为需要提供的其他资料.pdf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