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版本号：ZCSP-渭南市-2025-0081120251107001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潼关县镇级集中式饮用水水源地规范化建设项目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ZCSP-渭南市-2025-00811</w:t>
      </w:r>
      <w:r>
        <w:br/>
      </w:r>
      <w:r>
        <w:br/>
      </w:r>
      <w:r>
        <w:br/>
      </w:r>
    </w:p>
    <w:p>
      <w:pPr>
        <w:pStyle w:val="null3"/>
        <w:jc w:val="center"/>
        <w:outlineLvl w:val="2"/>
      </w:pPr>
      <w:r>
        <w:rPr>
          <w:rFonts w:ascii="仿宋_GB2312" w:hAnsi="仿宋_GB2312" w:cs="仿宋_GB2312" w:eastAsia="仿宋_GB2312"/>
          <w:sz w:val="28"/>
          <w:b/>
        </w:rPr>
        <w:t>渭南市生态环境局潼关分局</w:t>
      </w:r>
    </w:p>
    <w:p>
      <w:pPr>
        <w:pStyle w:val="null3"/>
        <w:jc w:val="center"/>
        <w:outlineLvl w:val="2"/>
      </w:pPr>
      <w:r>
        <w:rPr>
          <w:rFonts w:ascii="仿宋_GB2312" w:hAnsi="仿宋_GB2312" w:cs="仿宋_GB2312" w:eastAsia="仿宋_GB2312"/>
          <w:sz w:val="28"/>
          <w:b/>
        </w:rPr>
        <w:t>陕西盛典日工程咨询有限公司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陕西盛典日工程咨询有限公司</w:t>
      </w:r>
      <w:r>
        <w:rPr>
          <w:rFonts w:ascii="仿宋_GB2312" w:hAnsi="仿宋_GB2312" w:cs="仿宋_GB2312" w:eastAsia="仿宋_GB2312"/>
        </w:rPr>
        <w:t>（以下简称“代理机构”）受</w:t>
      </w:r>
      <w:r>
        <w:rPr>
          <w:rFonts w:ascii="仿宋_GB2312" w:hAnsi="仿宋_GB2312" w:cs="仿宋_GB2312" w:eastAsia="仿宋_GB2312"/>
        </w:rPr>
        <w:t>渭南市生态环境局潼关分局</w:t>
      </w:r>
      <w:r>
        <w:rPr>
          <w:rFonts w:ascii="仿宋_GB2312" w:hAnsi="仿宋_GB2312" w:cs="仿宋_GB2312" w:eastAsia="仿宋_GB2312"/>
        </w:rPr>
        <w:t>委托，拟对</w:t>
      </w:r>
      <w:r>
        <w:rPr>
          <w:rFonts w:ascii="仿宋_GB2312" w:hAnsi="仿宋_GB2312" w:cs="仿宋_GB2312" w:eastAsia="仿宋_GB2312"/>
        </w:rPr>
        <w:t>潼关县镇级集中式饮用水水源地规范化建设项目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ZCSP-渭南市-2025-00811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潼关县镇级集中式饮用水水源地规范化建设项目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主要包括水源地规范化建设，水源地一级保护区内杂物清理，5个水源地突发环境事件应急预案编制，水质常规监测。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采购包1（潼关县镇级集中式饮用水水源地规范化建设项目）：属于专门面向中小企业采购。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应具有独立承担民事责任的能力且具备向采购人提供相关货物及服务的企业法人、事业法人、其他组织或者自然人：企业法人应提供统一社会信用代码的营业执照；事业法人应提供统一社会信用代码的事业单位法人证；其他组织应提供合法证明文件；自然人提供身份证明文件；</w:t>
      </w:r>
    </w:p>
    <w:p>
      <w:pPr>
        <w:pStyle w:val="null3"/>
      </w:pPr>
      <w:r>
        <w:rPr>
          <w:rFonts w:ascii="仿宋_GB2312" w:hAnsi="仿宋_GB2312" w:cs="仿宋_GB2312" w:eastAsia="仿宋_GB2312"/>
        </w:rPr>
        <w:t>2、具有良好的商业信誉和健全的财务会计制度：提供2024年度的财务审计报告（成立时间至提交响应文件截止时间不足一年的可提供成立后任意时段的资产负债表），或其基本存款账户开户银行出具的资信证明及基本存款账户开户许可证，或财政部门认可的政府采购专业担保机构出具的担保函；</w:t>
      </w:r>
    </w:p>
    <w:p>
      <w:pPr>
        <w:pStyle w:val="null3"/>
      </w:pPr>
      <w:r>
        <w:rPr>
          <w:rFonts w:ascii="仿宋_GB2312" w:hAnsi="仿宋_GB2312" w:cs="仿宋_GB2312" w:eastAsia="仿宋_GB2312"/>
        </w:rPr>
        <w:t>3、税收缴纳证明：提供响应文件递交截止时间前6个月内任意一个月的缴费凭据，依法免税的单位应提供相关证明材料；</w:t>
      </w:r>
    </w:p>
    <w:p>
      <w:pPr>
        <w:pStyle w:val="null3"/>
      </w:pPr>
      <w:r>
        <w:rPr>
          <w:rFonts w:ascii="仿宋_GB2312" w:hAnsi="仿宋_GB2312" w:cs="仿宋_GB2312" w:eastAsia="仿宋_GB2312"/>
        </w:rPr>
        <w:t>4、社会保障资金缴纳证明：提供响应文件递交截止时间前6个月内任意一个月的社会保障资金缴存单据或社保机构开具的社会保险参保缴费情况证明，依法不需要缴纳社会保障资金的单位应提供相关证明材料；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5、无重大违法记录声明：供应商需提供参加政府采购活动近3年内在经营活动中没有重大违法纪录的书面声明；</w:t>
      </w:r>
    </w:p>
    <w:p>
      <w:pPr>
        <w:pStyle w:val="null3"/>
      </w:pPr>
      <w:r>
        <w:rPr>
          <w:rFonts w:ascii="仿宋_GB2312" w:hAnsi="仿宋_GB2312" w:cs="仿宋_GB2312" w:eastAsia="仿宋_GB2312"/>
        </w:rPr>
        <w:t>6、履行合同承诺书：提供具有履行合同所必需的设备和专业技术能力的承诺书。</w:t>
      </w:r>
    </w:p>
    <w:p>
      <w:pPr>
        <w:pStyle w:val="null3"/>
      </w:pPr>
      <w:r>
        <w:rPr>
          <w:rFonts w:ascii="仿宋_GB2312" w:hAnsi="仿宋_GB2312" w:cs="仿宋_GB2312" w:eastAsia="仿宋_GB2312"/>
        </w:rPr>
        <w:t>7、信誉情况：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8、无控股承诺：单位负责人为同一人或者存在直接控股、管理关系的不同供应商，不得参加同一合同项下的政府采购活动（提供承诺书）。</w:t>
      </w:r>
    </w:p>
    <w:p>
      <w:pPr>
        <w:pStyle w:val="null3"/>
      </w:pPr>
      <w:r>
        <w:rPr>
          <w:rFonts w:ascii="仿宋_GB2312" w:hAnsi="仿宋_GB2312" w:cs="仿宋_GB2312" w:eastAsia="仿宋_GB2312"/>
        </w:rPr>
        <w:t>9、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渭南市生态环境局潼关分局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潼关县兴隆街西十字西南角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渭南市生态环境局潼关分局经办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19891334160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陕西盛典日工程咨询有限公司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陕西省渭南市临渭区渭南市临渭区仓程路北段碧桂园翡翠公馆12幢商铺2层单元202号户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陈志峰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17386960448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采购包1：580,000.00元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开户名称：陕西盛典日工程咨询有限公司</w:t>
            </w:r>
          </w:p>
          <w:p>
            <w:pPr>
              <w:pStyle w:val="null3"/>
            </w:pPr>
            <w:r>
              <w:rPr>
                <w:rFonts w:ascii="仿宋_GB2312" w:hAnsi="仿宋_GB2312" w:cs="仿宋_GB2312" w:eastAsia="仿宋_GB2312"/>
              </w:rPr>
              <w:t>开户银行：长安银行股份有限公司渭南向阳支行</w:t>
            </w:r>
          </w:p>
          <w:p>
            <w:pPr>
              <w:pStyle w:val="null3"/>
            </w:pPr>
            <w:r>
              <w:rPr>
                <w:rFonts w:ascii="仿宋_GB2312" w:hAnsi="仿宋_GB2312" w:cs="仿宋_GB2312" w:eastAsia="仿宋_GB2312"/>
              </w:rPr>
              <w:t>银行账号：806040601421008477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代理服务费收费标准：招标代理服务费以中标价为基数，参照国家计委颁发计价格[2002]1980号和国家发展和改革委员会办公厅颁发的发改办价格[2003]857号的有关规定执行。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渭南市生态环境局潼关分局</w:t>
      </w:r>
      <w:r>
        <w:rPr>
          <w:rFonts w:ascii="仿宋_GB2312" w:hAnsi="仿宋_GB2312" w:cs="仿宋_GB2312" w:eastAsia="仿宋_GB2312"/>
        </w:rPr>
        <w:t>和</w:t>
      </w:r>
      <w:r>
        <w:rPr>
          <w:rFonts w:ascii="仿宋_GB2312" w:hAnsi="仿宋_GB2312" w:cs="仿宋_GB2312" w:eastAsia="仿宋_GB2312"/>
        </w:rPr>
        <w:t>陕西盛典日工程咨询有限公司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渭南市生态环境局潼关分局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陕西盛典日工程咨询有限公司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渭南市生态环境局潼关分局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陕西盛典日工程咨询有限公司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符合国家相关标准或行业标准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陕西盛典日工程咨询有限公司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联系人：陈志峰</w:t>
      </w:r>
    </w:p>
    <w:p>
      <w:pPr>
        <w:pStyle w:val="null3"/>
      </w:pPr>
      <w:r>
        <w:rPr>
          <w:rFonts w:ascii="仿宋_GB2312" w:hAnsi="仿宋_GB2312" w:cs="仿宋_GB2312" w:eastAsia="仿宋_GB2312"/>
        </w:rPr>
        <w:t>联系电话：17386960448</w:t>
      </w:r>
    </w:p>
    <w:p>
      <w:pPr>
        <w:pStyle w:val="null3"/>
      </w:pPr>
      <w:r>
        <w:rPr>
          <w:rFonts w:ascii="仿宋_GB2312" w:hAnsi="仿宋_GB2312" w:cs="仿宋_GB2312" w:eastAsia="仿宋_GB2312"/>
        </w:rPr>
        <w:t>地址：渭南市临渭区仓程路北段碧桂园翡翠公馆12幢商铺2层单元202号户</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主要包括水源地规范化建设，水源地一级保护区内杂物清理，5个水源地突发环境事件应急预案编制，水质常规监测。</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580,000.00</w:t>
      </w:r>
    </w:p>
    <w:p>
      <w:pPr>
        <w:pStyle w:val="null3"/>
      </w:pPr>
      <w:r>
        <w:rPr>
          <w:rFonts w:ascii="仿宋_GB2312" w:hAnsi="仿宋_GB2312" w:cs="仿宋_GB2312" w:eastAsia="仿宋_GB2312"/>
        </w:rPr>
        <w:t>采购包最高限价（元）: 580,000.00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潼关县镇级集中式饮用水水源地规范化建设项目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580,000.00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标的名称：潼关县镇级集中式饮用水水源地规范化建设项目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200"/>
              <w:jc w:val="both"/>
            </w:pPr>
            <w:r>
              <w:rPr>
                <w:rFonts w:ascii="仿宋_GB2312" w:hAnsi="仿宋_GB2312" w:cs="仿宋_GB2312" w:eastAsia="仿宋_GB2312"/>
                <w:sz w:val="18"/>
                <w:b/>
                <w:color w:val="333333"/>
              </w:rPr>
              <w:t>一、采购内容</w:t>
            </w:r>
          </w:p>
          <w:p>
            <w:pPr>
              <w:pStyle w:val="null3"/>
              <w:ind w:firstLine="480"/>
              <w:jc w:val="left"/>
            </w:pPr>
            <w:r>
              <w:rPr>
                <w:rFonts w:ascii="仿宋_GB2312" w:hAnsi="仿宋_GB2312" w:cs="仿宋_GB2312" w:eastAsia="仿宋_GB2312"/>
                <w:sz w:val="18"/>
              </w:rPr>
              <w:t>（一）镇级集中式地下水水源地规范化建设</w:t>
            </w:r>
          </w:p>
          <w:p>
            <w:pPr>
              <w:pStyle w:val="null3"/>
              <w:ind w:firstLine="480"/>
              <w:jc w:val="left"/>
            </w:pPr>
            <w:r>
              <w:rPr>
                <w:rFonts w:ascii="仿宋_GB2312" w:hAnsi="仿宋_GB2312" w:cs="仿宋_GB2312" w:eastAsia="仿宋_GB2312"/>
                <w:sz w:val="18"/>
              </w:rPr>
              <w:t>1.桐峪镇小口水源地</w:t>
            </w:r>
          </w:p>
          <w:p>
            <w:pPr>
              <w:pStyle w:val="null3"/>
              <w:ind w:firstLine="480"/>
              <w:jc w:val="left"/>
            </w:pPr>
            <w:r>
              <w:rPr>
                <w:rFonts w:ascii="仿宋_GB2312" w:hAnsi="仿宋_GB2312" w:cs="仿宋_GB2312" w:eastAsia="仿宋_GB2312"/>
                <w:sz w:val="18"/>
              </w:rPr>
              <w:t>①井站门口设立宣传牌1块，二级保护区靠村庄边界设宣传牌3块。</w:t>
            </w:r>
          </w:p>
          <w:p>
            <w:pPr>
              <w:pStyle w:val="null3"/>
              <w:ind w:firstLine="480"/>
              <w:jc w:val="left"/>
            </w:pPr>
            <w:r>
              <w:rPr>
                <w:rFonts w:ascii="仿宋_GB2312" w:hAnsi="仿宋_GB2312" w:cs="仿宋_GB2312" w:eastAsia="仿宋_GB2312"/>
                <w:sz w:val="18"/>
              </w:rPr>
              <w:t>②一级保护区边界设立界标1个，二级保护区边界设立界标6个</w:t>
            </w:r>
          </w:p>
          <w:p>
            <w:pPr>
              <w:pStyle w:val="null3"/>
              <w:ind w:firstLine="480"/>
              <w:jc w:val="left"/>
            </w:pPr>
            <w:r>
              <w:rPr>
                <w:rFonts w:ascii="仿宋_GB2312" w:hAnsi="仿宋_GB2312" w:cs="仿宋_GB2312" w:eastAsia="仿宋_GB2312"/>
                <w:sz w:val="18"/>
              </w:rPr>
              <w:t>③在进出二级保护区两条道路上共设置警示牌4个。</w:t>
            </w:r>
          </w:p>
          <w:p>
            <w:pPr>
              <w:pStyle w:val="null3"/>
              <w:ind w:firstLine="480"/>
              <w:jc w:val="left"/>
            </w:pPr>
            <w:r>
              <w:rPr>
                <w:rFonts w:ascii="仿宋_GB2312" w:hAnsi="仿宋_GB2312" w:cs="仿宋_GB2312" w:eastAsia="仿宋_GB2312"/>
                <w:sz w:val="18"/>
              </w:rPr>
              <w:t>④水源井设取水口标示牌1个。</w:t>
            </w:r>
          </w:p>
          <w:p>
            <w:pPr>
              <w:pStyle w:val="null3"/>
              <w:ind w:firstLine="480"/>
              <w:jc w:val="left"/>
            </w:pPr>
            <w:r>
              <w:rPr>
                <w:rFonts w:ascii="仿宋_GB2312" w:hAnsi="仿宋_GB2312" w:cs="仿宋_GB2312" w:eastAsia="仿宋_GB2312"/>
                <w:sz w:val="18"/>
              </w:rPr>
              <w:t>⑤沿二级保护区边界设界桩5个。</w:t>
            </w:r>
          </w:p>
          <w:p>
            <w:pPr>
              <w:pStyle w:val="null3"/>
              <w:ind w:firstLine="480"/>
              <w:jc w:val="left"/>
            </w:pPr>
            <w:r>
              <w:rPr>
                <w:rFonts w:ascii="仿宋_GB2312" w:hAnsi="仿宋_GB2312" w:cs="仿宋_GB2312" w:eastAsia="仿宋_GB2312"/>
                <w:sz w:val="18"/>
              </w:rPr>
              <w:t>2.太要镇太要水源地</w:t>
            </w:r>
          </w:p>
          <w:p>
            <w:pPr>
              <w:pStyle w:val="null3"/>
              <w:ind w:firstLine="480"/>
              <w:jc w:val="left"/>
            </w:pPr>
            <w:r>
              <w:rPr>
                <w:rFonts w:ascii="仿宋_GB2312" w:hAnsi="仿宋_GB2312" w:cs="仿宋_GB2312" w:eastAsia="仿宋_GB2312"/>
                <w:sz w:val="18"/>
              </w:rPr>
              <w:t>①井站门口设立宣传牌1块。二级保护区靠村庄边界设宣传牌4块。</w:t>
            </w:r>
          </w:p>
          <w:p>
            <w:pPr>
              <w:pStyle w:val="null3"/>
              <w:ind w:firstLine="480"/>
              <w:jc w:val="left"/>
            </w:pPr>
            <w:r>
              <w:rPr>
                <w:rFonts w:ascii="仿宋_GB2312" w:hAnsi="仿宋_GB2312" w:cs="仿宋_GB2312" w:eastAsia="仿宋_GB2312"/>
                <w:sz w:val="18"/>
              </w:rPr>
              <w:t>②一级保护区边界设立界标1个，二级保护区边界设立界标9个。</w:t>
            </w:r>
          </w:p>
          <w:p>
            <w:pPr>
              <w:pStyle w:val="null3"/>
              <w:ind w:firstLine="480"/>
              <w:jc w:val="left"/>
            </w:pPr>
            <w:r>
              <w:rPr>
                <w:rFonts w:ascii="仿宋_GB2312" w:hAnsi="仿宋_GB2312" w:cs="仿宋_GB2312" w:eastAsia="仿宋_GB2312"/>
                <w:sz w:val="18"/>
              </w:rPr>
              <w:t>③一级保护区边界需设置围栏共20m。</w:t>
            </w:r>
          </w:p>
          <w:p>
            <w:pPr>
              <w:pStyle w:val="null3"/>
              <w:ind w:firstLine="480"/>
              <w:jc w:val="left"/>
            </w:pPr>
            <w:r>
              <w:rPr>
                <w:rFonts w:ascii="仿宋_GB2312" w:hAnsi="仿宋_GB2312" w:cs="仿宋_GB2312" w:eastAsia="仿宋_GB2312"/>
                <w:sz w:val="18"/>
              </w:rPr>
              <w:t>④在进出二级保护区道路上共设置警示牌3个。</w:t>
            </w:r>
          </w:p>
          <w:p>
            <w:pPr>
              <w:pStyle w:val="null3"/>
              <w:ind w:firstLine="480"/>
              <w:jc w:val="left"/>
            </w:pPr>
            <w:r>
              <w:rPr>
                <w:rFonts w:ascii="仿宋_GB2312" w:hAnsi="仿宋_GB2312" w:cs="仿宋_GB2312" w:eastAsia="仿宋_GB2312"/>
                <w:sz w:val="18"/>
              </w:rPr>
              <w:t>⑤清除围墙侧、井口处杂物。</w:t>
            </w:r>
          </w:p>
          <w:p>
            <w:pPr>
              <w:pStyle w:val="null3"/>
              <w:ind w:firstLine="480"/>
              <w:jc w:val="left"/>
            </w:pPr>
            <w:r>
              <w:rPr>
                <w:rFonts w:ascii="仿宋_GB2312" w:hAnsi="仿宋_GB2312" w:cs="仿宋_GB2312" w:eastAsia="仿宋_GB2312"/>
                <w:sz w:val="18"/>
              </w:rPr>
              <w:t>⑥水源井设取水口标示牌1个。</w:t>
            </w:r>
          </w:p>
          <w:p>
            <w:pPr>
              <w:pStyle w:val="null3"/>
              <w:ind w:firstLine="480"/>
              <w:jc w:val="left"/>
            </w:pPr>
            <w:r>
              <w:rPr>
                <w:rFonts w:ascii="仿宋_GB2312" w:hAnsi="仿宋_GB2312" w:cs="仿宋_GB2312" w:eastAsia="仿宋_GB2312"/>
                <w:sz w:val="18"/>
              </w:rPr>
              <w:t>⑦沿二级保护区边界设界桩9个。</w:t>
            </w:r>
          </w:p>
          <w:p>
            <w:pPr>
              <w:pStyle w:val="null3"/>
              <w:ind w:firstLine="480"/>
              <w:jc w:val="left"/>
            </w:pPr>
            <w:r>
              <w:rPr>
                <w:rFonts w:ascii="仿宋_GB2312" w:hAnsi="仿宋_GB2312" w:cs="仿宋_GB2312" w:eastAsia="仿宋_GB2312"/>
                <w:sz w:val="18"/>
              </w:rPr>
              <w:t>3.代字营镇代字营水源地</w:t>
            </w:r>
          </w:p>
          <w:p>
            <w:pPr>
              <w:pStyle w:val="null3"/>
              <w:ind w:firstLine="480"/>
              <w:jc w:val="left"/>
            </w:pPr>
            <w:r>
              <w:rPr>
                <w:rFonts w:ascii="仿宋_GB2312" w:hAnsi="仿宋_GB2312" w:cs="仿宋_GB2312" w:eastAsia="仿宋_GB2312"/>
                <w:sz w:val="18"/>
              </w:rPr>
              <w:t>①井站门口设立宣传牌1块，二级保护区靠道路边界设宣传牌2块。</w:t>
            </w:r>
          </w:p>
          <w:p>
            <w:pPr>
              <w:pStyle w:val="null3"/>
              <w:ind w:firstLine="480"/>
              <w:jc w:val="left"/>
            </w:pPr>
            <w:r>
              <w:rPr>
                <w:rFonts w:ascii="仿宋_GB2312" w:hAnsi="仿宋_GB2312" w:cs="仿宋_GB2312" w:eastAsia="仿宋_GB2312"/>
                <w:sz w:val="18"/>
              </w:rPr>
              <w:t>②一级保护区边界设立界标1个，二级保护区边界设立界标4个。</w:t>
            </w:r>
          </w:p>
          <w:p>
            <w:pPr>
              <w:pStyle w:val="null3"/>
              <w:ind w:firstLine="480"/>
              <w:jc w:val="left"/>
            </w:pPr>
            <w:r>
              <w:rPr>
                <w:rFonts w:ascii="仿宋_GB2312" w:hAnsi="仿宋_GB2312" w:cs="仿宋_GB2312" w:eastAsia="仿宋_GB2312"/>
                <w:sz w:val="18"/>
              </w:rPr>
              <w:t>③在进出二级保护区道路上共设置警示牌2个。</w:t>
            </w:r>
          </w:p>
          <w:p>
            <w:pPr>
              <w:pStyle w:val="null3"/>
              <w:ind w:firstLine="480"/>
              <w:jc w:val="left"/>
            </w:pPr>
            <w:r>
              <w:rPr>
                <w:rFonts w:ascii="仿宋_GB2312" w:hAnsi="仿宋_GB2312" w:cs="仿宋_GB2312" w:eastAsia="仿宋_GB2312"/>
                <w:sz w:val="18"/>
              </w:rPr>
              <w:t>④水源井设取水口标示牌1个。</w:t>
            </w:r>
          </w:p>
          <w:p>
            <w:pPr>
              <w:pStyle w:val="null3"/>
              <w:ind w:firstLine="480"/>
              <w:jc w:val="left"/>
            </w:pPr>
            <w:r>
              <w:rPr>
                <w:rFonts w:ascii="仿宋_GB2312" w:hAnsi="仿宋_GB2312" w:cs="仿宋_GB2312" w:eastAsia="仿宋_GB2312"/>
                <w:sz w:val="18"/>
              </w:rPr>
              <w:t>⑤沿二级保护区边界设界桩3个。</w:t>
            </w:r>
          </w:p>
          <w:p>
            <w:pPr>
              <w:pStyle w:val="null3"/>
              <w:ind w:firstLine="480"/>
              <w:jc w:val="left"/>
            </w:pPr>
            <w:r>
              <w:rPr>
                <w:rFonts w:ascii="仿宋_GB2312" w:hAnsi="仿宋_GB2312" w:cs="仿宋_GB2312" w:eastAsia="仿宋_GB2312"/>
                <w:sz w:val="18"/>
              </w:rPr>
              <w:t>4.代字营镇南头水源地</w:t>
            </w:r>
          </w:p>
          <w:p>
            <w:pPr>
              <w:pStyle w:val="null3"/>
              <w:ind w:firstLine="480"/>
              <w:jc w:val="left"/>
            </w:pPr>
            <w:r>
              <w:rPr>
                <w:rFonts w:ascii="仿宋_GB2312" w:hAnsi="仿宋_GB2312" w:cs="仿宋_GB2312" w:eastAsia="仿宋_GB2312"/>
                <w:sz w:val="18"/>
              </w:rPr>
              <w:t>1#井：</w:t>
            </w:r>
          </w:p>
          <w:p>
            <w:pPr>
              <w:pStyle w:val="null3"/>
              <w:ind w:firstLine="480"/>
              <w:jc w:val="left"/>
            </w:pPr>
            <w:r>
              <w:rPr>
                <w:rFonts w:ascii="仿宋_GB2312" w:hAnsi="仿宋_GB2312" w:cs="仿宋_GB2312" w:eastAsia="仿宋_GB2312"/>
                <w:sz w:val="18"/>
              </w:rPr>
              <w:t>①井站门口设立宣传牌1块，二级保护区靠道路边界设宣传牌3块。</w:t>
            </w:r>
          </w:p>
          <w:p>
            <w:pPr>
              <w:pStyle w:val="null3"/>
              <w:ind w:firstLine="480"/>
              <w:jc w:val="left"/>
            </w:pPr>
            <w:r>
              <w:rPr>
                <w:rFonts w:ascii="仿宋_GB2312" w:hAnsi="仿宋_GB2312" w:cs="仿宋_GB2312" w:eastAsia="仿宋_GB2312"/>
                <w:sz w:val="18"/>
              </w:rPr>
              <w:t>②一级保护区边界设立界标1个，二级保护区边界设立界标5个。</w:t>
            </w:r>
          </w:p>
          <w:p>
            <w:pPr>
              <w:pStyle w:val="null3"/>
              <w:ind w:firstLine="480"/>
              <w:jc w:val="left"/>
            </w:pPr>
            <w:r>
              <w:rPr>
                <w:rFonts w:ascii="仿宋_GB2312" w:hAnsi="仿宋_GB2312" w:cs="仿宋_GB2312" w:eastAsia="仿宋_GB2312"/>
                <w:sz w:val="18"/>
              </w:rPr>
              <w:t>③在进出二级保护区道路上共设置警示牌3个。</w:t>
            </w:r>
          </w:p>
          <w:p>
            <w:pPr>
              <w:pStyle w:val="null3"/>
              <w:ind w:firstLine="480"/>
              <w:jc w:val="left"/>
            </w:pPr>
            <w:r>
              <w:rPr>
                <w:rFonts w:ascii="仿宋_GB2312" w:hAnsi="仿宋_GB2312" w:cs="仿宋_GB2312" w:eastAsia="仿宋_GB2312"/>
                <w:sz w:val="18"/>
              </w:rPr>
              <w:t>④水源井设取水口标示牌1个。</w:t>
            </w:r>
          </w:p>
          <w:p>
            <w:pPr>
              <w:pStyle w:val="null3"/>
              <w:ind w:firstLine="480"/>
              <w:jc w:val="left"/>
            </w:pPr>
            <w:r>
              <w:rPr>
                <w:rFonts w:ascii="仿宋_GB2312" w:hAnsi="仿宋_GB2312" w:cs="仿宋_GB2312" w:eastAsia="仿宋_GB2312"/>
                <w:sz w:val="18"/>
              </w:rPr>
              <w:t>⑤沿二级保护区边界设界桩3个。</w:t>
            </w:r>
          </w:p>
          <w:p>
            <w:pPr>
              <w:pStyle w:val="null3"/>
              <w:ind w:firstLine="480"/>
              <w:jc w:val="left"/>
            </w:pPr>
            <w:r>
              <w:rPr>
                <w:rFonts w:ascii="仿宋_GB2312" w:hAnsi="仿宋_GB2312" w:cs="仿宋_GB2312" w:eastAsia="仿宋_GB2312"/>
                <w:sz w:val="18"/>
              </w:rPr>
              <w:t>2#井：</w:t>
            </w:r>
          </w:p>
          <w:p>
            <w:pPr>
              <w:pStyle w:val="null3"/>
              <w:ind w:firstLine="480"/>
              <w:jc w:val="left"/>
            </w:pPr>
            <w:r>
              <w:rPr>
                <w:rFonts w:ascii="仿宋_GB2312" w:hAnsi="仿宋_GB2312" w:cs="仿宋_GB2312" w:eastAsia="仿宋_GB2312"/>
                <w:sz w:val="18"/>
              </w:rPr>
              <w:t>①井站门口设立宣传牌1块，二级保护区靠道路边界设宣传牌2块。</w:t>
            </w:r>
          </w:p>
          <w:p>
            <w:pPr>
              <w:pStyle w:val="null3"/>
              <w:ind w:firstLine="480"/>
              <w:jc w:val="left"/>
            </w:pPr>
            <w:r>
              <w:rPr>
                <w:rFonts w:ascii="仿宋_GB2312" w:hAnsi="仿宋_GB2312" w:cs="仿宋_GB2312" w:eastAsia="仿宋_GB2312"/>
                <w:sz w:val="18"/>
              </w:rPr>
              <w:t>②一级保护区边界设立界标1个，二级保护区边界设立界标4个。</w:t>
            </w:r>
          </w:p>
          <w:p>
            <w:pPr>
              <w:pStyle w:val="null3"/>
              <w:ind w:firstLine="480"/>
              <w:jc w:val="left"/>
            </w:pPr>
            <w:r>
              <w:rPr>
                <w:rFonts w:ascii="仿宋_GB2312" w:hAnsi="仿宋_GB2312" w:cs="仿宋_GB2312" w:eastAsia="仿宋_GB2312"/>
                <w:sz w:val="18"/>
              </w:rPr>
              <w:t>③在进出二级保护区道路上共设置警示牌2个。</w:t>
            </w:r>
          </w:p>
          <w:p>
            <w:pPr>
              <w:pStyle w:val="null3"/>
              <w:ind w:firstLine="480"/>
              <w:jc w:val="left"/>
            </w:pPr>
            <w:r>
              <w:rPr>
                <w:rFonts w:ascii="仿宋_GB2312" w:hAnsi="仿宋_GB2312" w:cs="仿宋_GB2312" w:eastAsia="仿宋_GB2312"/>
                <w:sz w:val="18"/>
              </w:rPr>
              <w:t>④水源井设取水口标示牌1个。</w:t>
            </w:r>
          </w:p>
          <w:p>
            <w:pPr>
              <w:pStyle w:val="null3"/>
              <w:ind w:firstLine="480"/>
              <w:jc w:val="left"/>
            </w:pPr>
            <w:r>
              <w:rPr>
                <w:rFonts w:ascii="仿宋_GB2312" w:hAnsi="仿宋_GB2312" w:cs="仿宋_GB2312" w:eastAsia="仿宋_GB2312"/>
                <w:sz w:val="18"/>
              </w:rPr>
              <w:t>⑤沿二级保护区边界设界桩3个。</w:t>
            </w:r>
          </w:p>
          <w:p>
            <w:pPr>
              <w:pStyle w:val="null3"/>
              <w:ind w:firstLine="480"/>
              <w:jc w:val="left"/>
            </w:pPr>
            <w:r>
              <w:rPr>
                <w:rFonts w:ascii="仿宋_GB2312" w:hAnsi="仿宋_GB2312" w:cs="仿宋_GB2312" w:eastAsia="仿宋_GB2312"/>
                <w:sz w:val="18"/>
              </w:rPr>
              <w:t>5.秦东镇秦东水源地</w:t>
            </w:r>
          </w:p>
          <w:p>
            <w:pPr>
              <w:pStyle w:val="null3"/>
              <w:ind w:firstLine="480"/>
              <w:jc w:val="left"/>
            </w:pPr>
            <w:r>
              <w:rPr>
                <w:rFonts w:ascii="仿宋_GB2312" w:hAnsi="仿宋_GB2312" w:cs="仿宋_GB2312" w:eastAsia="仿宋_GB2312"/>
                <w:sz w:val="18"/>
              </w:rPr>
              <w:t>1#井：</w:t>
            </w:r>
          </w:p>
          <w:p>
            <w:pPr>
              <w:pStyle w:val="null3"/>
              <w:ind w:firstLine="480"/>
              <w:jc w:val="left"/>
            </w:pPr>
            <w:r>
              <w:rPr>
                <w:rFonts w:ascii="仿宋_GB2312" w:hAnsi="仿宋_GB2312" w:cs="仿宋_GB2312" w:eastAsia="仿宋_GB2312"/>
                <w:sz w:val="18"/>
              </w:rPr>
              <w:t>①井站门口设立宣传牌1块，二级保护区靠道路边界设宣传牌2块。</w:t>
            </w:r>
          </w:p>
          <w:p>
            <w:pPr>
              <w:pStyle w:val="null3"/>
              <w:ind w:firstLine="480"/>
              <w:jc w:val="left"/>
            </w:pPr>
            <w:r>
              <w:rPr>
                <w:rFonts w:ascii="仿宋_GB2312" w:hAnsi="仿宋_GB2312" w:cs="仿宋_GB2312" w:eastAsia="仿宋_GB2312"/>
                <w:sz w:val="18"/>
              </w:rPr>
              <w:t>②一级保护区边界设立界标1个，二级保护区边界设立界标4个。</w:t>
            </w:r>
          </w:p>
          <w:p>
            <w:pPr>
              <w:pStyle w:val="null3"/>
              <w:ind w:firstLine="480"/>
              <w:jc w:val="left"/>
            </w:pPr>
            <w:r>
              <w:rPr>
                <w:rFonts w:ascii="仿宋_GB2312" w:hAnsi="仿宋_GB2312" w:cs="仿宋_GB2312" w:eastAsia="仿宋_GB2312"/>
                <w:sz w:val="18"/>
              </w:rPr>
              <w:t>③在进出二级保护区道路上共设置警示牌2个。</w:t>
            </w:r>
          </w:p>
          <w:p>
            <w:pPr>
              <w:pStyle w:val="null3"/>
              <w:ind w:firstLine="480"/>
              <w:jc w:val="left"/>
            </w:pPr>
            <w:r>
              <w:rPr>
                <w:rFonts w:ascii="仿宋_GB2312" w:hAnsi="仿宋_GB2312" w:cs="仿宋_GB2312" w:eastAsia="仿宋_GB2312"/>
                <w:sz w:val="18"/>
              </w:rPr>
              <w:t>④水源井设取水口标示牌1个。</w:t>
            </w:r>
          </w:p>
          <w:p>
            <w:pPr>
              <w:pStyle w:val="null3"/>
              <w:ind w:firstLine="480"/>
              <w:jc w:val="left"/>
            </w:pPr>
            <w:r>
              <w:rPr>
                <w:rFonts w:ascii="仿宋_GB2312" w:hAnsi="仿宋_GB2312" w:cs="仿宋_GB2312" w:eastAsia="仿宋_GB2312"/>
                <w:sz w:val="18"/>
              </w:rPr>
              <w:t>⑤沿二级保护区边界设界桩3个。</w:t>
            </w:r>
          </w:p>
          <w:p>
            <w:pPr>
              <w:pStyle w:val="null3"/>
              <w:ind w:firstLine="480"/>
              <w:jc w:val="left"/>
            </w:pPr>
            <w:r>
              <w:rPr>
                <w:rFonts w:ascii="仿宋_GB2312" w:hAnsi="仿宋_GB2312" w:cs="仿宋_GB2312" w:eastAsia="仿宋_GB2312"/>
                <w:sz w:val="18"/>
              </w:rPr>
              <w:t>2#井：</w:t>
            </w:r>
          </w:p>
          <w:p>
            <w:pPr>
              <w:pStyle w:val="null3"/>
              <w:ind w:firstLine="480"/>
              <w:jc w:val="left"/>
            </w:pPr>
            <w:r>
              <w:rPr>
                <w:rFonts w:ascii="仿宋_GB2312" w:hAnsi="仿宋_GB2312" w:cs="仿宋_GB2312" w:eastAsia="仿宋_GB2312"/>
                <w:sz w:val="18"/>
              </w:rPr>
              <w:t>①井站门口设立宣传牌1块，二级保护区靠道路边界设宣传牌3块。</w:t>
            </w:r>
          </w:p>
          <w:p>
            <w:pPr>
              <w:pStyle w:val="null3"/>
              <w:ind w:firstLine="480"/>
              <w:jc w:val="left"/>
            </w:pPr>
            <w:r>
              <w:rPr>
                <w:rFonts w:ascii="仿宋_GB2312" w:hAnsi="仿宋_GB2312" w:cs="仿宋_GB2312" w:eastAsia="仿宋_GB2312"/>
                <w:sz w:val="18"/>
              </w:rPr>
              <w:t>②一级保护区边界设立界标1个，二级保护区边界设立界标4个。</w:t>
            </w:r>
          </w:p>
          <w:p>
            <w:pPr>
              <w:pStyle w:val="null3"/>
              <w:ind w:firstLine="480"/>
              <w:jc w:val="left"/>
            </w:pPr>
            <w:r>
              <w:rPr>
                <w:rFonts w:ascii="仿宋_GB2312" w:hAnsi="仿宋_GB2312" w:cs="仿宋_GB2312" w:eastAsia="仿宋_GB2312"/>
                <w:sz w:val="18"/>
              </w:rPr>
              <w:t>③在进出二级保护区道路上共设置警示牌3个。</w:t>
            </w:r>
          </w:p>
          <w:p>
            <w:pPr>
              <w:pStyle w:val="null3"/>
              <w:ind w:firstLine="480"/>
              <w:jc w:val="left"/>
            </w:pPr>
            <w:r>
              <w:rPr>
                <w:rFonts w:ascii="仿宋_GB2312" w:hAnsi="仿宋_GB2312" w:cs="仿宋_GB2312" w:eastAsia="仿宋_GB2312"/>
                <w:sz w:val="18"/>
              </w:rPr>
              <w:t>④水源井设取水口标示牌1个。</w:t>
            </w:r>
          </w:p>
          <w:p>
            <w:pPr>
              <w:pStyle w:val="null3"/>
              <w:ind w:firstLine="480"/>
              <w:jc w:val="left"/>
            </w:pPr>
            <w:r>
              <w:rPr>
                <w:rFonts w:ascii="仿宋_GB2312" w:hAnsi="仿宋_GB2312" w:cs="仿宋_GB2312" w:eastAsia="仿宋_GB2312"/>
                <w:sz w:val="18"/>
              </w:rPr>
              <w:t>⑤沿二级保护区边界设界桩3个。</w:t>
            </w:r>
          </w:p>
          <w:p>
            <w:pPr>
              <w:pStyle w:val="null3"/>
              <w:ind w:firstLine="480"/>
              <w:jc w:val="left"/>
            </w:pPr>
            <w:r>
              <w:rPr>
                <w:rFonts w:ascii="仿宋_GB2312" w:hAnsi="仿宋_GB2312" w:cs="仿宋_GB2312" w:eastAsia="仿宋_GB2312"/>
                <w:sz w:val="18"/>
              </w:rPr>
              <w:t>（二）农业面源整治及杂物清理</w:t>
            </w:r>
          </w:p>
          <w:p>
            <w:pPr>
              <w:pStyle w:val="null3"/>
              <w:ind w:firstLine="480"/>
              <w:jc w:val="left"/>
            </w:pPr>
            <w:r>
              <w:rPr>
                <w:rFonts w:ascii="仿宋_GB2312" w:hAnsi="仿宋_GB2312" w:cs="仿宋_GB2312" w:eastAsia="仿宋_GB2312"/>
                <w:sz w:val="18"/>
              </w:rPr>
              <w:t>桐峪镇小口、代字营镇代字营地下水水源地一级保护区内农业种植物清退及补偿。</w:t>
            </w:r>
          </w:p>
          <w:p>
            <w:pPr>
              <w:pStyle w:val="null3"/>
              <w:ind w:firstLine="480"/>
              <w:jc w:val="left"/>
            </w:pPr>
            <w:r>
              <w:rPr>
                <w:rFonts w:ascii="仿宋_GB2312" w:hAnsi="仿宋_GB2312" w:cs="仿宋_GB2312" w:eastAsia="仿宋_GB2312"/>
                <w:sz w:val="18"/>
              </w:rPr>
              <w:t>太要镇太要地下水水源地一级保护区杂物进行清理。</w:t>
            </w:r>
          </w:p>
          <w:p>
            <w:pPr>
              <w:pStyle w:val="null3"/>
              <w:ind w:firstLine="480"/>
              <w:jc w:val="left"/>
            </w:pPr>
            <w:r>
              <w:rPr>
                <w:rFonts w:ascii="仿宋_GB2312" w:hAnsi="仿宋_GB2312" w:cs="仿宋_GB2312" w:eastAsia="仿宋_GB2312"/>
                <w:sz w:val="18"/>
              </w:rPr>
              <w:t>（三）水质常规监测</w:t>
            </w:r>
          </w:p>
          <w:p>
            <w:pPr>
              <w:pStyle w:val="null3"/>
              <w:ind w:firstLine="480"/>
              <w:jc w:val="left"/>
            </w:pPr>
            <w:r>
              <w:rPr>
                <w:rFonts w:ascii="仿宋_GB2312" w:hAnsi="仿宋_GB2312" w:cs="仿宋_GB2312" w:eastAsia="仿宋_GB2312"/>
                <w:sz w:val="18"/>
              </w:rPr>
              <w:t>开展2次水质常规监测，监测项目为《地下水质量标准》（GB/T 14848-2017）表1地下水质量常规指标，共39项。</w:t>
            </w:r>
          </w:p>
          <w:p>
            <w:pPr>
              <w:pStyle w:val="null3"/>
              <w:ind w:firstLine="480"/>
              <w:jc w:val="left"/>
            </w:pPr>
            <w:r>
              <w:rPr>
                <w:rFonts w:ascii="仿宋_GB2312" w:hAnsi="仿宋_GB2312" w:cs="仿宋_GB2312" w:eastAsia="仿宋_GB2312"/>
                <w:sz w:val="18"/>
              </w:rPr>
              <w:t>（四）应急能力建设</w:t>
            </w:r>
          </w:p>
          <w:p>
            <w:pPr>
              <w:pStyle w:val="null3"/>
              <w:ind w:firstLine="480"/>
              <w:jc w:val="left"/>
            </w:pPr>
            <w:r>
              <w:rPr>
                <w:rFonts w:ascii="仿宋_GB2312" w:hAnsi="仿宋_GB2312" w:cs="仿宋_GB2312" w:eastAsia="仿宋_GB2312"/>
                <w:sz w:val="18"/>
              </w:rPr>
              <w:t>5处饮用水水源地突发环境事件应急预案编制和备案。</w:t>
            </w:r>
          </w:p>
          <w:p>
            <w:pPr>
              <w:pStyle w:val="null3"/>
              <w:jc w:val="both"/>
            </w:pPr>
            <w:r>
              <w:rPr>
                <w:rFonts w:ascii="仿宋_GB2312" w:hAnsi="仿宋_GB2312" w:cs="仿宋_GB2312" w:eastAsia="仿宋_GB2312"/>
                <w:sz w:val="18"/>
                <w:b/>
                <w:color w:val="333333"/>
              </w:rPr>
              <w:t>二、服务指标的具体要求</w:t>
            </w:r>
          </w:p>
          <w:tbl>
            <w:tblPr>
              <w:tblInd w:type="dxa" w:w="90"/>
              <w:tblBorders>
                <w:top w:val="none" w:color="000000" w:sz="4"/>
                <w:left w:val="none" w:color="000000" w:sz="4"/>
                <w:bottom w:val="none" w:color="000000" w:sz="4"/>
                <w:right w:val="none" w:color="000000" w:sz="4"/>
                <w:insideH w:val="none"/>
                <w:insideV w:val="none"/>
              </w:tblBorders>
            </w:tblPr>
            <w:tblGrid>
              <w:gridCol w:w="376"/>
              <w:gridCol w:w="1665"/>
              <w:gridCol w:w="506"/>
            </w:tblGrid>
            <w:tr>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名称</w:t>
                  </w:r>
                </w:p>
              </w:tc>
              <w:tc>
                <w:tcPr>
                  <w:tcW w:type="dxa" w:w="1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规格与材质</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数量</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宣传牌</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画面尺寸1600mm*1200mm，</w:t>
                  </w:r>
                  <w:r>
                    <w:rPr>
                      <w:rFonts w:ascii="仿宋_GB2312" w:hAnsi="仿宋_GB2312" w:cs="仿宋_GB2312" w:eastAsia="仿宋_GB2312"/>
                      <w:sz w:val="18"/>
                      <w:color w:val="000000"/>
                    </w:rPr>
                    <w:t>厚度不小于</w:t>
                  </w:r>
                  <w:r>
                    <w:rPr>
                      <w:rFonts w:ascii="仿宋_GB2312" w:hAnsi="仿宋_GB2312" w:cs="仿宋_GB2312" w:eastAsia="仿宋_GB2312"/>
                      <w:sz w:val="18"/>
                      <w:color w:val="000000"/>
                    </w:rPr>
                    <w:t>2.0mm铝合金板；铝板折边-双面安装；反光膜打印。</w:t>
                  </w:r>
                </w:p>
                <w:p>
                  <w:pPr>
                    <w:pStyle w:val="null3"/>
                    <w:jc w:val="left"/>
                  </w:pPr>
                  <w:r>
                    <w:rPr>
                      <w:rFonts w:ascii="仿宋_GB2312" w:hAnsi="仿宋_GB2312" w:cs="仿宋_GB2312" w:eastAsia="仿宋_GB2312"/>
                      <w:sz w:val="18"/>
                      <w:color w:val="000000"/>
                    </w:rPr>
                    <w:t>2.立柱主要采用Q235、Q345及以上钢材，需热镀锌处理，镀锌层厚度≥75μm，直径75mm双立柱杆子；总高2600mm；双轨道双抱箍。混凝土埋深600mm，面宽300mm*300mm，表面环氧树脂处理。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rPr>
                    <w:t>应符合</w:t>
                  </w:r>
                  <w:r>
                    <w:rPr>
                      <w:rFonts w:ascii="仿宋_GB2312" w:hAnsi="仿宋_GB2312" w:cs="仿宋_GB2312" w:eastAsia="仿宋_GB2312"/>
                      <w:sz w:val="18"/>
                      <w:color w:val="000000"/>
                    </w:rPr>
                    <w:t>《</w:t>
                  </w:r>
                  <w:r>
                    <w:rPr>
                      <w:rFonts w:ascii="仿宋_GB2312" w:hAnsi="仿宋_GB2312" w:cs="仿宋_GB2312" w:eastAsia="仿宋_GB2312"/>
                      <w:sz w:val="18"/>
                    </w:rPr>
                    <w:t>GB/T 15566</w:t>
                  </w:r>
                  <w:r>
                    <w:rPr>
                      <w:rFonts w:ascii="仿宋_GB2312" w:hAnsi="仿宋_GB2312" w:cs="仿宋_GB2312" w:eastAsia="仿宋_GB2312"/>
                      <w:sz w:val="18"/>
                      <w:color w:val="000000"/>
                    </w:rPr>
                    <w:t>》</w:t>
                  </w:r>
                  <w:r>
                    <w:rPr>
                      <w:rFonts w:ascii="仿宋_GB2312" w:hAnsi="仿宋_GB2312" w:cs="仿宋_GB2312" w:eastAsia="仿宋_GB2312"/>
                      <w:sz w:val="18"/>
                    </w:rPr>
                    <w:t>和</w:t>
                  </w:r>
                  <w:r>
                    <w:rPr>
                      <w:rFonts w:ascii="仿宋_GB2312" w:hAnsi="仿宋_GB2312" w:cs="仿宋_GB2312" w:eastAsia="仿宋_GB2312"/>
                      <w:sz w:val="18"/>
                      <w:color w:val="000000"/>
                    </w:rPr>
                    <w:t>《</w:t>
                  </w:r>
                  <w:r>
                    <w:rPr>
                      <w:rFonts w:ascii="仿宋_GB2312" w:hAnsi="仿宋_GB2312" w:cs="仿宋_GB2312" w:eastAsia="仿宋_GB2312"/>
                      <w:sz w:val="18"/>
                    </w:rPr>
                    <w:t>GB5768</w:t>
                  </w:r>
                  <w:r>
                    <w:rPr>
                      <w:rFonts w:ascii="仿宋_GB2312" w:hAnsi="仿宋_GB2312" w:cs="仿宋_GB2312" w:eastAsia="仿宋_GB2312"/>
                      <w:sz w:val="18"/>
                      <w:color w:val="000000"/>
                    </w:rPr>
                    <w:t>》</w:t>
                  </w:r>
                  <w:r>
                    <w:rPr>
                      <w:rFonts w:ascii="仿宋_GB2312" w:hAnsi="仿宋_GB2312" w:cs="仿宋_GB2312" w:eastAsia="仿宋_GB2312"/>
                      <w:sz w:val="18"/>
                    </w:rPr>
                    <w:t>相应规定。</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26</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界标</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画面尺寸1200mm*1600mm，</w:t>
                  </w:r>
                  <w:r>
                    <w:rPr>
                      <w:rFonts w:ascii="仿宋_GB2312" w:hAnsi="仿宋_GB2312" w:cs="仿宋_GB2312" w:eastAsia="仿宋_GB2312"/>
                      <w:sz w:val="18"/>
                      <w:color w:val="000000"/>
                    </w:rPr>
                    <w:t>厚度不小于</w:t>
                  </w:r>
                  <w:r>
                    <w:rPr>
                      <w:rFonts w:ascii="仿宋_GB2312" w:hAnsi="仿宋_GB2312" w:cs="仿宋_GB2312" w:eastAsia="仿宋_GB2312"/>
                      <w:sz w:val="18"/>
                      <w:color w:val="000000"/>
                    </w:rPr>
                    <w:t>2.0mm铝合金板；铝板折边-双面安装；反光膜打印。</w:t>
                  </w:r>
                </w:p>
                <w:p>
                  <w:pPr>
                    <w:pStyle w:val="null3"/>
                    <w:jc w:val="left"/>
                  </w:pPr>
                  <w:r>
                    <w:rPr>
                      <w:rFonts w:ascii="仿宋_GB2312" w:hAnsi="仿宋_GB2312" w:cs="仿宋_GB2312" w:eastAsia="仿宋_GB2312"/>
                      <w:sz w:val="18"/>
                      <w:color w:val="000000"/>
                    </w:rPr>
                    <w:t>2.立柱主要采用Q235、Q345及以上钢材/需热镀锌处理，镀锌层厚度≥75μm直径75mm双立柱杆子；总高2600mm；双轨道双抱箍。混凝土埋深600mm，面宽300mm*300mm，表面环氧树脂处理。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color w:val="000000"/>
                    </w:rPr>
                    <w:t>.</w:t>
                  </w:r>
                  <w:r>
                    <w:rPr>
                      <w:rFonts w:ascii="仿宋_GB2312" w:hAnsi="仿宋_GB2312" w:cs="仿宋_GB2312" w:eastAsia="仿宋_GB2312"/>
                      <w:sz w:val="18"/>
                    </w:rPr>
                    <w:t>应符合</w:t>
                  </w:r>
                  <w:r>
                    <w:rPr>
                      <w:rFonts w:ascii="仿宋_GB2312" w:hAnsi="仿宋_GB2312" w:cs="仿宋_GB2312" w:eastAsia="仿宋_GB2312"/>
                      <w:sz w:val="18"/>
                      <w:color w:val="000000"/>
                    </w:rPr>
                    <w:t>《GB5768》 相应规定。</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43</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警示牌</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画面尺寸600mm*1500mm，</w:t>
                  </w:r>
                  <w:r>
                    <w:rPr>
                      <w:rFonts w:ascii="仿宋_GB2312" w:hAnsi="仿宋_GB2312" w:cs="仿宋_GB2312" w:eastAsia="仿宋_GB2312"/>
                      <w:sz w:val="18"/>
                      <w:color w:val="000000"/>
                    </w:rPr>
                    <w:t>厚度不小于</w:t>
                  </w:r>
                  <w:r>
                    <w:rPr>
                      <w:rFonts w:ascii="仿宋_GB2312" w:hAnsi="仿宋_GB2312" w:cs="仿宋_GB2312" w:eastAsia="仿宋_GB2312"/>
                      <w:sz w:val="18"/>
                      <w:color w:val="000000"/>
                    </w:rPr>
                    <w:t>2.0mm度铝板；铝板折边-双面安装，反光膜打印。</w:t>
                  </w:r>
                </w:p>
                <w:p>
                  <w:pPr>
                    <w:pStyle w:val="null3"/>
                    <w:jc w:val="left"/>
                  </w:pPr>
                  <w:r>
                    <w:rPr>
                      <w:rFonts w:ascii="仿宋_GB2312" w:hAnsi="仿宋_GB2312" w:cs="仿宋_GB2312" w:eastAsia="仿宋_GB2312"/>
                      <w:sz w:val="18"/>
                      <w:color w:val="000000"/>
                    </w:rPr>
                    <w:t>2.立柱主要采用Q235、Q345及以上钢材需热镀锌处理，镀锌层厚度≥75μm，直径75mm单立柱杆子；总高2600mm；双轨道双抱箍。混凝土埋深600mm，面宽300mm*300mm，表面环氧树脂处理。</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rPr>
                    <w:t>应符合</w:t>
                  </w:r>
                  <w:r>
                    <w:rPr>
                      <w:rFonts w:ascii="仿宋_GB2312" w:hAnsi="仿宋_GB2312" w:cs="仿宋_GB2312" w:eastAsia="仿宋_GB2312"/>
                      <w:sz w:val="18"/>
                      <w:color w:val="000000"/>
                    </w:rPr>
                    <w:t>《GB5768》相应规定。</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19</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标示牌</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w:t>
                  </w:r>
                  <w:r>
                    <w:rPr>
                      <w:rFonts w:ascii="仿宋_GB2312" w:hAnsi="仿宋_GB2312" w:cs="仿宋_GB2312" w:eastAsia="仿宋_GB2312"/>
                      <w:sz w:val="18"/>
                      <w:color w:val="000000"/>
                    </w:rPr>
                    <w:t>画面尺寸600mm*900mm</w:t>
                  </w:r>
                </w:p>
                <w:p>
                  <w:pPr>
                    <w:pStyle w:val="null3"/>
                    <w:jc w:val="left"/>
                  </w:pPr>
                  <w:r>
                    <w:rPr>
                      <w:rFonts w:ascii="仿宋_GB2312" w:hAnsi="仿宋_GB2312" w:cs="仿宋_GB2312" w:eastAsia="仿宋_GB2312"/>
                      <w:sz w:val="18"/>
                      <w:color w:val="000000"/>
                    </w:rPr>
                    <w:t>2.2.0mm厚度铝合金板平板折边；双轨道方口螺丝固定；反光膜打印</w:t>
                  </w:r>
                </w:p>
                <w:p>
                  <w:pPr>
                    <w:pStyle w:val="null3"/>
                    <w:jc w:val="left"/>
                  </w:pPr>
                  <w:r>
                    <w:rPr>
                      <w:rFonts w:ascii="仿宋_GB2312" w:hAnsi="仿宋_GB2312" w:cs="仿宋_GB2312" w:eastAsia="仿宋_GB2312"/>
                      <w:sz w:val="18"/>
                      <w:color w:val="000000"/>
                    </w:rPr>
                    <w:t>3.</w:t>
                  </w:r>
                  <w:r>
                    <w:rPr>
                      <w:rFonts w:ascii="仿宋_GB2312" w:hAnsi="仿宋_GB2312" w:cs="仿宋_GB2312" w:eastAsia="仿宋_GB2312"/>
                      <w:sz w:val="18"/>
                    </w:rPr>
                    <w:t>应符合</w:t>
                  </w:r>
                  <w:r>
                    <w:rPr>
                      <w:rFonts w:ascii="仿宋_GB2312" w:hAnsi="仿宋_GB2312" w:cs="仿宋_GB2312" w:eastAsia="仿宋_GB2312"/>
                      <w:sz w:val="18"/>
                      <w:color w:val="000000"/>
                    </w:rPr>
                    <w:t>《GB5768》相应规定。</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7</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界桩</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1.界桩尺寸100mm*100mm*800mm（地面露出尺寸）</w:t>
                  </w:r>
                </w:p>
                <w:p>
                  <w:pPr>
                    <w:pStyle w:val="null3"/>
                    <w:jc w:val="left"/>
                  </w:pPr>
                  <w:r>
                    <w:rPr>
                      <w:rFonts w:ascii="仿宋_GB2312" w:hAnsi="仿宋_GB2312" w:cs="仿宋_GB2312" w:eastAsia="仿宋_GB2312"/>
                      <w:sz w:val="18"/>
                      <w:color w:val="000000"/>
                    </w:rPr>
                    <w:t>2.混凝土埋深500mm</w:t>
                  </w:r>
                </w:p>
                <w:p>
                  <w:pPr>
                    <w:pStyle w:val="null3"/>
                    <w:jc w:val="left"/>
                  </w:pPr>
                  <w:r>
                    <w:rPr>
                      <w:rFonts w:ascii="仿宋_GB2312" w:hAnsi="仿宋_GB2312" w:cs="仿宋_GB2312" w:eastAsia="仿宋_GB2312"/>
                      <w:sz w:val="18"/>
                      <w:color w:val="000000"/>
                    </w:rPr>
                    <w:t>3.玻璃钢材质</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29</w:t>
                  </w:r>
                </w:p>
              </w:tc>
            </w:tr>
            <w:tr>
              <w:tc>
                <w:tcPr>
                  <w:tcW w:type="dxa" w:w="37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围栏</w:t>
                  </w:r>
                </w:p>
              </w:tc>
              <w:tc>
                <w:tcPr>
                  <w:tcW w:type="dxa" w:w="1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8"/>
                      <w:color w:val="000000"/>
                    </w:rPr>
                    <w:t>防护栏高度2100mm，顶部0.2m向内倾斜。立柱Φ48mm×2mm，边框48mm×20mm×2mm，丝径 5mm，孔径 55mm×55mm，碳钢浸塑材质。围网门边框30mm*20mm*2.0mm塑后，丝径4mm塑后，网孔75mm*150mm，绿色侵塑；门1.5m宽*2m高，单数字锁。</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color w:val="000000"/>
                    </w:rPr>
                    <w:t>20</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在服务期限内,完成潼关县镇级集中式饮用水水源地规范化建设任务，符合相关规范标准，并验收合格。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完成所有工作内容</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中标（成交）供应商在中标（成交）结果公告发布后3个工作日内，向招标代理公司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需提供磋商保证金缴纳凭证</w:t>
            </w:r>
          </w:p>
        </w:tc>
        <w:tc>
          <w:tcPr>
            <w:tcW w:type="dxa" w:w="1661"/>
          </w:tcPr>
          <w:p>
            <w:pPr>
              <w:pStyle w:val="null3"/>
            </w:pPr>
            <w:r>
              <w:rPr>
                <w:rFonts w:ascii="仿宋_GB2312" w:hAnsi="仿宋_GB2312" w:cs="仿宋_GB2312" w:eastAsia="仿宋_GB2312"/>
              </w:rPr>
              <w:t>供应商资格证明文件.docx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供应商应具有独立承担民事责任的能力且具备向采购人提供相关货物及服务的企业法人、事业法人、其他组织或者自然人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企业法人应提供统一社会信用代码的营业执照；事业法人应提供统一社会信用代码的事业单位法人证；其他组织应提供合法证明文件；自然人提供身份证明文件；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w:t>
            </w:r>
          </w:p>
        </w:tc>
        <w:tc>
          <w:tcPr>
            <w:tcW w:type="dxa" w:w="3322"/>
          </w:tcPr>
          <w:p>
            <w:pPr>
              <w:pStyle w:val="null3"/>
            </w:pPr>
            <w:r>
              <w:rPr>
                <w:rFonts w:ascii="仿宋_GB2312" w:hAnsi="仿宋_GB2312" w:cs="仿宋_GB2312" w:eastAsia="仿宋_GB2312"/>
              </w:rPr>
              <w:t>提供2024年度的财务审计报告（成立时间至提交响应文件截止时间不足一年的可提供成立后任意时段的资产负债表），或其基本存款账户开户银行出具的资信证明及基本存款账户开户许可证，或财政部门认可的政府采购专业担保机构出具的担保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提供响应文件递交截止时间前6个月内任意一个月的缴费凭据，依法免税的单位应提供相关证明材料；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提供响应文件递交截止时间前6个月内任意一个月的社会保障资金缴存单据或社保机构开具的社会保险参保缴费情况证明，依法不需要缴纳社会保障资金的单位应提供相关证明材料；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供应商需提供参加政府采购活动近3年内在经营活动中没有重大违法纪录的书面声明；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履行合同承诺书</w:t>
            </w:r>
          </w:p>
        </w:tc>
        <w:tc>
          <w:tcPr>
            <w:tcW w:type="dxa" w:w="3322"/>
          </w:tcPr>
          <w:p>
            <w:pPr>
              <w:pStyle w:val="null3"/>
            </w:pPr>
            <w:r>
              <w:rPr>
                <w:rFonts w:ascii="仿宋_GB2312" w:hAnsi="仿宋_GB2312" w:cs="仿宋_GB2312" w:eastAsia="仿宋_GB2312"/>
              </w:rPr>
              <w:t>提供具有履行合同所必需的设备和专业技术能力的承诺书。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信誉情况</w:t>
            </w:r>
          </w:p>
        </w:tc>
        <w:tc>
          <w:tcPr>
            <w:tcW w:type="dxa" w:w="3322"/>
          </w:tcPr>
          <w:p>
            <w:pPr>
              <w:pStyle w:val="null3"/>
            </w:pPr>
            <w:r>
              <w:rPr>
                <w:rFonts w:ascii="仿宋_GB2312" w:hAnsi="仿宋_GB2312" w:cs="仿宋_GB2312" w:eastAsia="仿宋_GB2312"/>
              </w:rPr>
              <w:t>供应商不得在“信用中国”（www.creditchina.gov.cn）网站被列为失信被执行人和重大税收违法失信主体，且无不良记录；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单位负责人为同一人或者存在直接控股、管理关系的不同供应商，不得参加同一合同项下的政府采购活动（提供承诺书）。</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法定代表人身份证明.docx 法定代表人授权委托书.docx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分项报价.docx 磋商报价一览表.docx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报价表 分项报价.docx 响应文件封面 近三年类似项目业绩.docx 本项目拟投入人员汇总表.docx 残疾人福利性单位声明函 服务方案 标的清单 供应商资格证明文件.docx 响应函 法定代表人授权委托书.docx 陕西省政府采购供应商拒绝政府采购领域商业贿赂承诺书.docx 磋商报价一览表.docx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磋商响应函签字盖章</w:t>
            </w:r>
          </w:p>
        </w:tc>
        <w:tc>
          <w:tcPr>
            <w:tcW w:type="dxa" w:w="3322"/>
          </w:tcPr>
          <w:p>
            <w:pPr>
              <w:pStyle w:val="null3"/>
            </w:pPr>
            <w:r>
              <w:rPr>
                <w:rFonts w:ascii="仿宋_GB2312" w:hAnsi="仿宋_GB2312" w:cs="仿宋_GB2312" w:eastAsia="仿宋_GB2312"/>
              </w:rPr>
              <w:t>按照磋商文件要求进行签章</w:t>
            </w:r>
          </w:p>
        </w:tc>
        <w:tc>
          <w:tcPr>
            <w:tcW w:type="dxa" w:w="1661"/>
          </w:tcPr>
          <w:p>
            <w:pPr>
              <w:pStyle w:val="null3"/>
            </w:pPr>
            <w:r>
              <w:rPr>
                <w:rFonts w:ascii="仿宋_GB2312" w:hAnsi="仿宋_GB2312" w:cs="仿宋_GB2312" w:eastAsia="仿宋_GB2312"/>
              </w:rPr>
              <w:t>服务内容及服务邀请应答表 法定代表人身份证明.docx 中小企业声明函 商务应答表 报价表 分项报价.docx 响应文件封面 近三年类似项目业绩.docx 本项目拟投入人员汇总表.docx 残疾人福利性单位声明函 服务方案 标的清单 供应商资格证明文件.docx 响应函 法定代表人授权委托书.docx 陕西省政府采购供应商拒绝政府采购领域商业贿赂承诺书.docx 磋商报价一览表.docx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商务应答表 标的清单 报价表 磋商报价一览表.docx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标的清单 报价表 分项报价.docx 磋商报价一览表.docx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对项目的理解及认识、重点、难点的分析</w:t>
            </w:r>
          </w:p>
        </w:tc>
        <w:tc>
          <w:tcPr>
            <w:tcW w:type="dxa" w:w="2492"/>
          </w:tcPr>
          <w:p>
            <w:pPr>
              <w:pStyle w:val="null3"/>
            </w:pPr>
            <w:r>
              <w:rPr>
                <w:rFonts w:ascii="仿宋_GB2312" w:hAnsi="仿宋_GB2312" w:cs="仿宋_GB2312" w:eastAsia="仿宋_GB2312"/>
              </w:rPr>
              <w:t>一、评审内容:对项目的理解及认识、重点、难点的分析包括但不限于：①项目的背景②内容及理解③成果要求④技术路线⑤项目重点、难点分析及应对措施。二、评审标准：各个部分内容全面、合理、逻辑清晰、阐述条理清晰且描述详细符合本项目采购需求有针对性，以上5项，以序号①、②、③、④、⑤为项数，内容无缺项、无漏项且无缺陷的得10分，其中每有一项内容存在缺项或漏项的扣2分，每项内容中每 有一处存在缺陷的扣0.5分，该项分值扣完为止，未提供不得分。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服务实施总体方案</w:t>
            </w:r>
          </w:p>
        </w:tc>
        <w:tc>
          <w:tcPr>
            <w:tcW w:type="dxa" w:w="2492"/>
          </w:tcPr>
          <w:p>
            <w:pPr>
              <w:pStyle w:val="null3"/>
            </w:pPr>
            <w:r>
              <w:rPr>
                <w:rFonts w:ascii="仿宋_GB2312" w:hAnsi="仿宋_GB2312" w:cs="仿宋_GB2312" w:eastAsia="仿宋_GB2312"/>
              </w:rPr>
              <w:t>一、评审内容：提供基于项目总体分析的总体技术方案，包括但不限于①总体实施计划；②实施方案；③现场监测与现状分析；④各项内容所依据的行业技术规范与标准。 二、评审标准：提供详细、合理、科学可行的方案 ，方案符合本项目采购需求有针对性，以上4项，以序号①、②、③、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实施进度保证措施</w:t>
            </w:r>
          </w:p>
        </w:tc>
        <w:tc>
          <w:tcPr>
            <w:tcW w:type="dxa" w:w="2492"/>
          </w:tcPr>
          <w:p>
            <w:pPr>
              <w:pStyle w:val="null3"/>
            </w:pPr>
            <w:r>
              <w:rPr>
                <w:rFonts w:ascii="仿宋_GB2312" w:hAnsi="仿宋_GB2312" w:cs="仿宋_GB2312" w:eastAsia="仿宋_GB2312"/>
              </w:rPr>
              <w:t>一、评审内容：针对本项目实施进度保证措施，包括但不限于：①进度计划安排②组织协调措施③实施进度保证措施二、评审标准：提供详细、合理、科学可行的方案 ，方案符合本项目采购需求有针对性，以上3项，以序号①、②、③为项数，内容无缺项、无漏项且无缺陷的得9分，其中每有一项内容存在缺项或漏项的扣3分，每项内容中每有一处存在缺陷的扣0.5分，该项分值扣完为止，未提供不得分。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一：评审内容：①服务质量目标及规划；②质量管理体系③质量保证措施， 二、评审标准：提供详细、合理、科学可行的方案 ，方案符合本项目采购需求有针对性，以上3项，以序号①、②、③、为项数，内容无缺项、无漏项且无缺陷的得9分，其中每有一项内容存在缺项或漏项的扣3分，每项内容中每 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针对本项目需求，制定详细可行的合理化建议，每提出一项得1分，最高得5分，未提供不得分。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一、评审内容：针对本项目提供应急方案，包括但不限于：①紧急状况处理方式；②应急情况处理措施；③突发事件应急人员安排。二、评审标准：提供详细、合理、科学可行的方案 ，方案符合本项目采购需求有针对性，以上3项，以序号①、②、③为项数，内容无缺项、无漏项且无缺陷的得6分，其中每有一项内容存在缺项或漏项的扣2分，每项内容中每有一处存在缺陷的扣0.5分，该项分值扣完为止，未提供不得分。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一、评审内容：服务承诺，包括但不限于：①服务质量的承诺；②出现问题响应时效的承诺；③接受采购人对服务的监督及管理的承诺；④配合采购人调整、完善方案的承诺。 二、评审标准：提供详细、合理、科学可行的方案，方案符合本项目采购需求有针对性，以上4项，以序号①、②、③、④为项数，内容无缺项、无漏项且无缺陷的得8分，其中每有一项内容存在缺项或漏项的扣2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一、拟派项目负责人具备环境类相关专业高级工程师职称得3分，中级职称的得1分； 二、供应商拟投入本项目的人员中，每具备一个环境相关专业技术职称证书得 2 分，最高得4分； 三、项目组其他人员分工明确、责任明确，结构合理，每增加一个人员得1分，最高得2分。 注:提供人员证明材料复印件及社保证明材料，加盖单位鲜章，否则不得分。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本项目拟投入人员汇总表.docx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近三年（2022年10月至今，以合同签订时间为准）具有类似项目业绩，每提供一份得2分（以合同或成交通知书为准），最高得8分。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近三年类似项目业绩.docx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财库〔2014〕214号文件第二十四条和财库〔2020〕46号文件的规定，采用低价优先法计算，以本次满足磋商文件要求的最终最低报价为磋商基准价，其磋商报价为满分。其他供应商的价格分，统一按照下列公式计算：磋商报价得分=(磋商基准价／磋商最后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p>
            <w:pPr>
              <w:pStyle w:val="null3"/>
            </w:pPr>
            <w:r>
              <w:rPr>
                <w:rFonts w:ascii="仿宋_GB2312" w:hAnsi="仿宋_GB2312" w:cs="仿宋_GB2312" w:eastAsia="仿宋_GB2312"/>
              </w:rPr>
              <w:t>分项报价.docx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详见附件：近三年类似项目业绩.docx</w:t>
      </w:r>
    </w:p>
    <w:p>
      <w:pPr>
        <w:pStyle w:val="null3"/>
        <w:ind w:firstLine="960"/>
      </w:pPr>
      <w:r>
        <w:rPr>
          <w:rFonts w:ascii="仿宋_GB2312" w:hAnsi="仿宋_GB2312" w:cs="仿宋_GB2312" w:eastAsia="仿宋_GB2312"/>
        </w:rPr>
        <w:t>详见附件：分项报价.docx</w:t>
      </w:r>
    </w:p>
    <w:p>
      <w:pPr>
        <w:pStyle w:val="null3"/>
        <w:ind w:firstLine="960"/>
      </w:pPr>
      <w:r>
        <w:rPr>
          <w:rFonts w:ascii="仿宋_GB2312" w:hAnsi="仿宋_GB2312" w:cs="仿宋_GB2312" w:eastAsia="仿宋_GB2312"/>
        </w:rPr>
        <w:t>详见附件：法定代表人身份证明.docx</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详见附件：本项目拟投入人员汇总表.docx</w:t>
      </w:r>
    </w:p>
    <w:p>
      <w:pPr>
        <w:pStyle w:val="null3"/>
        <w:ind w:firstLine="960"/>
      </w:pPr>
      <w:r>
        <w:rPr>
          <w:rFonts w:ascii="仿宋_GB2312" w:hAnsi="仿宋_GB2312" w:cs="仿宋_GB2312" w:eastAsia="仿宋_GB2312"/>
        </w:rPr>
        <w:t>详见附件：磋商报价一览表.docx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