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版本号：ZCSP-渭南市-2025-00813、DRZB2025-ZC-16420251110001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渭南市12345快速响应平台智能化升级项目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ZCSP-渭南市-2025-00813、DRZB2025-ZC-164</w:t>
      </w:r>
      <w:r>
        <w:br/>
      </w:r>
      <w:r>
        <w:br/>
      </w:r>
      <w:r>
        <w:br/>
      </w:r>
    </w:p>
    <w:p>
      <w:pPr>
        <w:pStyle w:val="null3"/>
        <w:jc w:val="center"/>
        <w:outlineLvl w:val="2"/>
      </w:pPr>
      <w:r>
        <w:rPr>
          <w:rFonts w:ascii="仿宋_GB2312" w:hAnsi="仿宋_GB2312" w:cs="仿宋_GB2312" w:eastAsia="仿宋_GB2312"/>
          <w:sz w:val="28"/>
          <w:b/>
        </w:rPr>
        <w:t>渭南市12345热线服务中心</w:t>
      </w:r>
    </w:p>
    <w:p>
      <w:pPr>
        <w:pStyle w:val="null3"/>
        <w:jc w:val="center"/>
        <w:outlineLvl w:val="2"/>
      </w:pPr>
      <w:r>
        <w:rPr>
          <w:rFonts w:ascii="仿宋_GB2312" w:hAnsi="仿宋_GB2312" w:cs="仿宋_GB2312" w:eastAsia="仿宋_GB2312"/>
          <w:sz w:val="28"/>
          <w:b/>
        </w:rPr>
        <w:t>陕西德仁招标有限公司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陕西德仁招标有限公司</w:t>
      </w:r>
      <w:r>
        <w:rPr>
          <w:rFonts w:ascii="仿宋_GB2312" w:hAnsi="仿宋_GB2312" w:cs="仿宋_GB2312" w:eastAsia="仿宋_GB2312"/>
        </w:rPr>
        <w:t>（以下简称“代理机构”）受</w:t>
      </w:r>
      <w:r>
        <w:rPr>
          <w:rFonts w:ascii="仿宋_GB2312" w:hAnsi="仿宋_GB2312" w:cs="仿宋_GB2312" w:eastAsia="仿宋_GB2312"/>
        </w:rPr>
        <w:t>渭南市12345热线服务中心</w:t>
      </w:r>
      <w:r>
        <w:rPr>
          <w:rFonts w:ascii="仿宋_GB2312" w:hAnsi="仿宋_GB2312" w:cs="仿宋_GB2312" w:eastAsia="仿宋_GB2312"/>
        </w:rPr>
        <w:t>委托，拟对</w:t>
      </w:r>
      <w:r>
        <w:rPr>
          <w:rFonts w:ascii="仿宋_GB2312" w:hAnsi="仿宋_GB2312" w:cs="仿宋_GB2312" w:eastAsia="仿宋_GB2312"/>
        </w:rPr>
        <w:t>渭南市12345快速响应平台智能化升级项目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ZCSP-渭南市-2025-00813、DRZB2025-ZC-164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渭南市12345快速响应平台智能化升级项目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渭南市12345快速响应平台智能化升级项目，具体内容详见招标文件及采购需求。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 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负责人授权委托书：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投标人关联关系声明：投标人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10、非联合体声明：本项目不接受联合体投标。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法人证书/专业服务机构执业许可证/民办非企业单位登记证书，自然人提供身份证）；</w:t>
      </w:r>
    </w:p>
    <w:p>
      <w:pPr>
        <w:pStyle w:val="null3"/>
      </w:pPr>
      <w:r>
        <w:rPr>
          <w:rFonts w:ascii="仿宋_GB2312" w:hAnsi="仿宋_GB2312" w:cs="仿宋_GB2312" w:eastAsia="仿宋_GB2312"/>
        </w:rPr>
        <w:t>2、财务状况报告：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3、税收缴纳证明：提供递交投标文件截止之日前六个月内任意一个月的依法缴纳税收的相关凭据，凭据应有税务机关或代收机关的公章或业务专用章。依法免税或无须缴纳税收的供应商，应提供相应证明文件；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六个月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5、书面声明：提供具有履行本合同所必需的专业技术能力的书面声明；</w:t>
      </w:r>
    </w:p>
    <w:p>
      <w:pPr>
        <w:pStyle w:val="null3"/>
      </w:pPr>
      <w:r>
        <w:rPr>
          <w:rFonts w:ascii="仿宋_GB2312" w:hAnsi="仿宋_GB2312" w:cs="仿宋_GB2312" w:eastAsia="仿宋_GB2312"/>
        </w:rPr>
        <w:t>6、无重大违法记录声明：参加本次政府采购活动前 3 年内在经营活动中没有重大违纪，以及未被列入失信被执行人、重大税收违法失信主体、政府采购严重违法失信行为记录名单的书面声明；</w:t>
      </w:r>
    </w:p>
    <w:p>
      <w:pPr>
        <w:pStyle w:val="null3"/>
      </w:pPr>
      <w:r>
        <w:rPr>
          <w:rFonts w:ascii="仿宋_GB2312" w:hAnsi="仿宋_GB2312" w:cs="仿宋_GB2312" w:eastAsia="仿宋_GB2312"/>
        </w:rPr>
        <w:t>7、法定代表人/负责人授权委托书：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p>
      <w:pPr>
        <w:pStyle w:val="null3"/>
      </w:pPr>
      <w:r>
        <w:rPr>
          <w:rFonts w:ascii="仿宋_GB2312" w:hAnsi="仿宋_GB2312" w:cs="仿宋_GB2312" w:eastAsia="仿宋_GB2312"/>
        </w:rPr>
        <w:t>8、信用记录：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9、投标人关联关系声明：投标人关联关系声明，包括：①控股管理关系（不得与参加本项目的其他供应商单位负责人为同一人或者存在直接控股、管理关系），②未为本项目提供整体设计、规范编制或者项目管理、监理、检测等服务；</w:t>
      </w:r>
    </w:p>
    <w:p>
      <w:pPr>
        <w:pStyle w:val="null3"/>
      </w:pPr>
      <w:r>
        <w:rPr>
          <w:rFonts w:ascii="仿宋_GB2312" w:hAnsi="仿宋_GB2312" w:cs="仿宋_GB2312" w:eastAsia="仿宋_GB2312"/>
        </w:rPr>
        <w:t>10、特定资质：投标人具有有效的《网络安全服务认证证书等级保护测评服务认证》证书；</w:t>
      </w:r>
    </w:p>
    <w:p>
      <w:pPr>
        <w:pStyle w:val="null3"/>
      </w:pPr>
      <w:r>
        <w:rPr>
          <w:rFonts w:ascii="仿宋_GB2312" w:hAnsi="仿宋_GB2312" w:cs="仿宋_GB2312" w:eastAsia="仿宋_GB2312"/>
        </w:rPr>
        <w:t>11、非联合体声明：本项目不接受联合体投标。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渭南市12345热线服务中心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渭南市新盛路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邱勇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0913-3103668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陕西德仁招标有限公司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西安市唐延路37号class公馆B栋1103室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贺培文、赵璐、杨景涛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029-85565073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采购包1：1,552,000.00元</w:t>
            </w:r>
          </w:p>
          <w:p>
            <w:pPr>
              <w:pStyle w:val="null3"/>
            </w:pPr>
            <w:r>
              <w:rPr>
                <w:rFonts w:ascii="仿宋_GB2312" w:hAnsi="仿宋_GB2312" w:cs="仿宋_GB2312" w:eastAsia="仿宋_GB2312"/>
              </w:rPr>
              <w:t>采购包2：80,000.00元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采购包1保证金金额：30,164.00元</w:t>
            </w:r>
          </w:p>
          <w:p>
            <w:pPr>
              <w:pStyle w:val="null3"/>
            </w:pPr>
            <w:r>
              <w:rPr>
                <w:rFonts w:ascii="仿宋_GB2312" w:hAnsi="仿宋_GB2312" w:cs="仿宋_GB2312" w:eastAsia="仿宋_GB2312"/>
              </w:rPr>
              <w:t>采购包2保证金金额：1,164.00元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开户名称：陕西德仁招标有限公司</w:t>
            </w:r>
          </w:p>
          <w:p>
            <w:pPr>
              <w:pStyle w:val="null3"/>
            </w:pPr>
            <w:r>
              <w:rPr>
                <w:rFonts w:ascii="仿宋_GB2312" w:hAnsi="仿宋_GB2312" w:cs="仿宋_GB2312" w:eastAsia="仿宋_GB2312"/>
              </w:rPr>
              <w:t>开户银行：中国建设银行股份有限公司西安吉祥路支行</w:t>
            </w:r>
          </w:p>
          <w:p>
            <w:pPr>
              <w:pStyle w:val="null3"/>
            </w:pPr>
            <w:r>
              <w:rPr>
                <w:rFonts w:ascii="仿宋_GB2312" w:hAnsi="仿宋_GB2312" w:cs="仿宋_GB2312" w:eastAsia="仿宋_GB2312"/>
              </w:rPr>
              <w:t>银行账号：6105 0172 6500 0000 0081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代理服务费用收取对象：采购人</w:t>
            </w:r>
          </w:p>
          <w:p>
            <w:pPr>
              <w:pStyle w:val="null3"/>
            </w:pPr>
            <w:r>
              <w:rPr>
                <w:rFonts w:ascii="仿宋_GB2312" w:hAnsi="仿宋_GB2312" w:cs="仿宋_GB2312" w:eastAsia="仿宋_GB2312"/>
              </w:rPr>
              <w:t>代理服务费收费标准：本项目按定额收取，具体金额为8000.00元。由采购人向采购代理机构一次付清代理服务费。银行户名：陕西德仁招标有限公司 开户银行：招商银行股份有限公司西安城南支行 账 号：1299 0904 6810 901 联系人：苏会计 联系电话：029-89185132 邮箱：sxdrzb@qq.com</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渭南市12345热线服务中心</w:t>
      </w:r>
      <w:r>
        <w:rPr>
          <w:rFonts w:ascii="仿宋_GB2312" w:hAnsi="仿宋_GB2312" w:cs="仿宋_GB2312" w:eastAsia="仿宋_GB2312"/>
        </w:rPr>
        <w:t>和</w:t>
      </w:r>
      <w:r>
        <w:rPr>
          <w:rFonts w:ascii="仿宋_GB2312" w:hAnsi="仿宋_GB2312" w:cs="仿宋_GB2312" w:eastAsia="仿宋_GB2312"/>
        </w:rPr>
        <w:t>陕西德仁招标有限公司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渭南市12345热线服务中心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陕西德仁招标有限公司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渭南市12345热线服务中心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陕西德仁招标有限公司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陕西德仁招标有限公司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陕西德仁招标有限公司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联系人：贺培文、赵璐、杨景涛</w:t>
      </w:r>
    </w:p>
    <w:p>
      <w:pPr>
        <w:pStyle w:val="null3"/>
      </w:pPr>
      <w:r>
        <w:rPr>
          <w:rFonts w:ascii="仿宋_GB2312" w:hAnsi="仿宋_GB2312" w:cs="仿宋_GB2312" w:eastAsia="仿宋_GB2312"/>
        </w:rPr>
        <w:t>联系电话：029-85565073</w:t>
      </w:r>
    </w:p>
    <w:p>
      <w:pPr>
        <w:pStyle w:val="null3"/>
      </w:pPr>
      <w:r>
        <w:rPr>
          <w:rFonts w:ascii="仿宋_GB2312" w:hAnsi="仿宋_GB2312" w:cs="仿宋_GB2312" w:eastAsia="仿宋_GB2312"/>
        </w:rPr>
        <w:t>地址：西安市唐延路37号class公馆B栋1103室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渭南市12345快速响应平台智能化升级项目，具体内容详见招标文件及采购需求。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1,552,000.00</w:t>
      </w:r>
    </w:p>
    <w:p>
      <w:pPr>
        <w:pStyle w:val="null3"/>
      </w:pPr>
      <w:r>
        <w:rPr>
          <w:rFonts w:ascii="仿宋_GB2312" w:hAnsi="仿宋_GB2312" w:cs="仿宋_GB2312" w:eastAsia="仿宋_GB2312"/>
        </w:rPr>
        <w:t>采购包最高限价（元）: 1,552,000.00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渭南市12345快速响应平台智能化升级项目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等保测评</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标的名称：渭南市12345快速响应平台智能化升级项目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outlineLvl w:val="1"/>
            </w:pPr>
            <w:r>
              <w:rPr>
                <w:rFonts w:ascii="仿宋_GB2312" w:hAnsi="仿宋_GB2312" w:cs="仿宋_GB2312" w:eastAsia="仿宋_GB2312"/>
                <w:sz w:val="36"/>
                <w:b/>
              </w:rPr>
              <w:t>1.1.项目升级背景</w:t>
            </w:r>
          </w:p>
          <w:p>
            <w:pPr>
              <w:pStyle w:val="null3"/>
            </w:pPr>
            <w:r>
              <w:rPr>
                <w:rFonts w:ascii="仿宋_GB2312" w:hAnsi="仿宋_GB2312" w:cs="仿宋_GB2312" w:eastAsia="仿宋_GB2312"/>
              </w:rPr>
              <w:t>目前渭南市12345快速响应平台更多地采用人工的方式通过电话、网络通道为市民提供服务，随着服务型政府的建设，12345的服务内容快速增长。现有业务受理、协同办理、绩效考核等环节业务都使用人工处理，费时费力且服务质量无法保证一致性。</w:t>
            </w:r>
          </w:p>
          <w:p>
            <w:pPr>
              <w:pStyle w:val="null3"/>
            </w:pPr>
            <w:r>
              <w:rPr>
                <w:rFonts w:ascii="仿宋_GB2312" w:hAnsi="仿宋_GB2312" w:cs="仿宋_GB2312" w:eastAsia="仿宋_GB2312"/>
              </w:rPr>
              <w:t>需在12345业务管理平台系统中引进智能AI技术，通过与现有12345系统的集成对接，构建渭南市12345热线智能化平台，把LLM大语言模型、UIE要素提取、ML机器学习、RAG检索增强生成等热线专属大模型能力，赋能到业务受理、协同办理、流程监督、绩效考核的全业务流程，从而能有效分流人工，以降低人工服务压力，同时保证服务的一致性和准确率，提高12345的服务质量。</w:t>
            </w:r>
          </w:p>
          <w:p>
            <w:pPr>
              <w:pStyle w:val="null3"/>
            </w:pPr>
            <w:r>
              <w:rPr>
                <w:rFonts w:ascii="仿宋_GB2312" w:hAnsi="仿宋_GB2312" w:cs="仿宋_GB2312" w:eastAsia="仿宋_GB2312"/>
              </w:rPr>
              <w:t>基于平台叠加智能化应用能力，搭建智能客服平台，建设智能受理应用、智能语音辅助、智能质检应用、智能回访应用、数据预警分析等功能，实现统一服务标准规范、集中监管服务质量，提升转办效率，降低热线投入成本，减轻人员工作压力。</w:t>
            </w:r>
          </w:p>
          <w:p>
            <w:pPr>
              <w:pStyle w:val="null3"/>
              <w:outlineLvl w:val="1"/>
            </w:pPr>
            <w:r>
              <w:rPr>
                <w:rFonts w:ascii="仿宋_GB2312" w:hAnsi="仿宋_GB2312" w:cs="仿宋_GB2312" w:eastAsia="仿宋_GB2312"/>
                <w:sz w:val="36"/>
                <w:b/>
              </w:rPr>
              <w:t>1.2.项目升级目标</w:t>
            </w:r>
          </w:p>
          <w:p>
            <w:pPr>
              <w:pStyle w:val="null3"/>
            </w:pPr>
            <w:r>
              <w:rPr>
                <w:rFonts w:ascii="仿宋_GB2312" w:hAnsi="仿宋_GB2312" w:cs="仿宋_GB2312" w:eastAsia="仿宋_GB2312"/>
              </w:rPr>
              <w:t>响应国办发〔2020〕53号、〔2025〕66号文件要求，本项目主要是在现有12345热线基础上引入AI智能化和大模型应用技术，以科学的AI应用赋能合适的工作环节为目标，为12345热线全流程提供科学有效的人工智能升级扩展服务，利用人工智能技术、自然语音处理技术、语音识别技术建设一套智能化程度高、运行高效的12345热线平台，提升热线的快速受理效能，建设智能受理应用、智能语音辅助、智能质检应用、智能回访应用、数据预警分析等，全面实现12345智能化流程赋能，提升12345热线平台智能化应用水平，提高坐席工作效率。同时，预留数据标准接口，实现与各县(市、区)数据实时传输与共享。</w:t>
            </w:r>
          </w:p>
          <w:p>
            <w:pPr>
              <w:pStyle w:val="null3"/>
              <w:outlineLvl w:val="1"/>
            </w:pPr>
            <w:r>
              <w:rPr>
                <w:rFonts w:ascii="仿宋_GB2312" w:hAnsi="仿宋_GB2312" w:cs="仿宋_GB2312" w:eastAsia="仿宋_GB2312"/>
                <w:sz w:val="36"/>
                <w:b/>
              </w:rPr>
              <w:t>1.3.项目技术要求</w:t>
            </w:r>
          </w:p>
          <w:p>
            <w:pPr>
              <w:pStyle w:val="null3"/>
              <w:outlineLvl w:val="2"/>
            </w:pPr>
            <w:r>
              <w:rPr>
                <w:rFonts w:ascii="仿宋_GB2312" w:hAnsi="仿宋_GB2312" w:cs="仿宋_GB2312" w:eastAsia="仿宋_GB2312"/>
                <w:sz w:val="28"/>
                <w:b/>
              </w:rPr>
              <w:t>1.3.1.设计原则</w:t>
            </w:r>
          </w:p>
          <w:p>
            <w:pPr>
              <w:pStyle w:val="null3"/>
            </w:pPr>
            <w:r>
              <w:rPr>
                <w:rFonts w:ascii="仿宋_GB2312" w:hAnsi="仿宋_GB2312" w:cs="仿宋_GB2312" w:eastAsia="仿宋_GB2312"/>
              </w:rPr>
              <w:t>本项目设计建设和实施时需遵循以下原则：先进性原则、经济实用性原则、标准性原则、安全性原则、稳定性原则、易用性原则、扩展性原则。</w:t>
            </w:r>
          </w:p>
          <w:p>
            <w:pPr>
              <w:pStyle w:val="null3"/>
              <w:outlineLvl w:val="2"/>
            </w:pPr>
            <w:r>
              <w:rPr>
                <w:rFonts w:ascii="仿宋_GB2312" w:hAnsi="仿宋_GB2312" w:cs="仿宋_GB2312" w:eastAsia="仿宋_GB2312"/>
                <w:sz w:val="28"/>
                <w:b/>
              </w:rPr>
              <w:t>1.3.2.技术要求</w:t>
            </w:r>
          </w:p>
          <w:p>
            <w:pPr>
              <w:pStyle w:val="null3"/>
              <w:outlineLvl w:val="3"/>
            </w:pPr>
            <w:r>
              <w:rPr>
                <w:rFonts w:ascii="仿宋_GB2312" w:hAnsi="仿宋_GB2312" w:cs="仿宋_GB2312" w:eastAsia="仿宋_GB2312"/>
                <w:sz w:val="24"/>
                <w:b/>
              </w:rPr>
              <w:t>1.3.2.1.遵循软件行业ISO质量体系认证的标准规范</w:t>
            </w:r>
          </w:p>
          <w:p>
            <w:pPr>
              <w:pStyle w:val="null3"/>
            </w:pPr>
            <w:r>
              <w:rPr>
                <w:rFonts w:ascii="仿宋_GB2312" w:hAnsi="仿宋_GB2312" w:cs="仿宋_GB2312" w:eastAsia="仿宋_GB2312"/>
              </w:rPr>
              <w:t>本项目在开发过程中必须遵循软件行业ISO质量体系认证的标准规范及相关技术和数据规范、业务规范，结合实际需求进行系统的设计、开发与实施。</w:t>
            </w:r>
          </w:p>
          <w:p>
            <w:pPr>
              <w:pStyle w:val="null3"/>
              <w:outlineLvl w:val="3"/>
            </w:pPr>
            <w:r>
              <w:rPr>
                <w:rFonts w:ascii="仿宋_GB2312" w:hAnsi="仿宋_GB2312" w:cs="仿宋_GB2312" w:eastAsia="仿宋_GB2312"/>
                <w:sz w:val="24"/>
                <w:b/>
              </w:rPr>
              <w:t>1.3.2.2.微服务架构要求</w:t>
            </w:r>
          </w:p>
          <w:p>
            <w:pPr>
              <w:pStyle w:val="null3"/>
            </w:pPr>
            <w:r>
              <w:rPr>
                <w:rFonts w:ascii="仿宋_GB2312" w:hAnsi="仿宋_GB2312" w:cs="仿宋_GB2312" w:eastAsia="仿宋_GB2312"/>
              </w:rPr>
              <w:t>充分利用微服务架构代码库小、发布成本低、可复用、高效率等诸多优势，打造松耦合、高灵活性的12345热线平台应用，同时改善故障隔离，降低故障影响范围。</w:t>
            </w:r>
          </w:p>
          <w:p>
            <w:pPr>
              <w:pStyle w:val="null3"/>
              <w:outlineLvl w:val="3"/>
            </w:pPr>
            <w:r>
              <w:rPr>
                <w:rFonts w:ascii="仿宋_GB2312" w:hAnsi="仿宋_GB2312" w:cs="仿宋_GB2312" w:eastAsia="仿宋_GB2312"/>
                <w:sz w:val="24"/>
                <w:b/>
              </w:rPr>
              <w:t>1.3.2.3.兼容主流操作系统、数据库、浏览器和算力等</w:t>
            </w:r>
          </w:p>
          <w:p>
            <w:pPr>
              <w:pStyle w:val="null3"/>
            </w:pPr>
            <w:r>
              <w:rPr>
                <w:rFonts w:ascii="仿宋_GB2312" w:hAnsi="仿宋_GB2312" w:cs="仿宋_GB2312" w:eastAsia="仿宋_GB2312"/>
              </w:rPr>
              <w:t>采用开放的技术架构，能够兼容国产主流的服务器、操作系统、数据库、程序语言、网络传输协议、浏览器，智能AI算力适配要支持国产化等应用。能够在各类信息化环境中进行系统部署、运行、访问与集成。</w:t>
            </w:r>
          </w:p>
          <w:p>
            <w:pPr>
              <w:pStyle w:val="null3"/>
              <w:outlineLvl w:val="3"/>
            </w:pPr>
            <w:r>
              <w:rPr>
                <w:rFonts w:ascii="仿宋_GB2312" w:hAnsi="仿宋_GB2312" w:cs="仿宋_GB2312" w:eastAsia="仿宋_GB2312"/>
                <w:sz w:val="24"/>
                <w:b/>
              </w:rPr>
              <w:t>1.3.2.4.具备文本相似度研判和大数据分析能力</w:t>
            </w:r>
          </w:p>
          <w:p>
            <w:pPr>
              <w:pStyle w:val="null3"/>
            </w:pPr>
            <w:r>
              <w:rPr>
                <w:rFonts w:ascii="仿宋_GB2312" w:hAnsi="仿宋_GB2312" w:cs="仿宋_GB2312" w:eastAsia="仿宋_GB2312"/>
              </w:rPr>
              <w:t>为深度挖掘渭南市12345热线平台多年来积累的大量民情数据的价值，在未来扩展便民服务应用所产生的政务热线大数据分析应用，本项目升级的平台要具备文本相似度计算去重方法和政务热线大数据分析应用能力，至少使用国内先进水平的同等技术。</w:t>
            </w:r>
          </w:p>
          <w:p>
            <w:pPr>
              <w:pStyle w:val="null3"/>
              <w:outlineLvl w:val="3"/>
            </w:pPr>
            <w:r>
              <w:rPr>
                <w:rFonts w:ascii="仿宋_GB2312" w:hAnsi="仿宋_GB2312" w:cs="仿宋_GB2312" w:eastAsia="仿宋_GB2312"/>
                <w:sz w:val="24"/>
                <w:b/>
              </w:rPr>
              <w:t>1.3.2.5.数据融合服务能力</w:t>
            </w:r>
          </w:p>
          <w:p>
            <w:pPr>
              <w:pStyle w:val="null3"/>
            </w:pPr>
            <w:r>
              <w:rPr>
                <w:rFonts w:ascii="仿宋_GB2312" w:hAnsi="仿宋_GB2312" w:cs="仿宋_GB2312" w:eastAsia="仿宋_GB2312"/>
              </w:rPr>
              <w:t>本项目为升级改造项目，升级改造内容有智能受理、智能语音服务、智能质检、智能回访、数据动态预警与现有话务系统、工单系统无缝融合，投标人提供详细的融合方案，所涉及的融合费用由投标人自行解决；投标人应确保本次升级的智能化系统功能完全不影响原有业务系统中所有软件功能使用及全量历史诉求数据应用。</w:t>
            </w:r>
          </w:p>
          <w:p>
            <w:pPr>
              <w:pStyle w:val="null3"/>
              <w:outlineLvl w:val="3"/>
            </w:pPr>
            <w:r>
              <w:rPr>
                <w:rFonts w:ascii="仿宋_GB2312" w:hAnsi="仿宋_GB2312" w:cs="仿宋_GB2312" w:eastAsia="仿宋_GB2312"/>
                <w:sz w:val="24"/>
                <w:b/>
              </w:rPr>
              <w:t>1.3.2.6.数据接口要求</w:t>
            </w:r>
          </w:p>
          <w:p>
            <w:pPr>
              <w:pStyle w:val="null3"/>
            </w:pPr>
            <w:r>
              <w:rPr>
                <w:rFonts w:ascii="仿宋_GB2312" w:hAnsi="仿宋_GB2312" w:cs="仿宋_GB2312" w:eastAsia="仿宋_GB2312"/>
              </w:rPr>
              <w:t>在系统设计时严格遵循国际标准、国家标准、行业和相关规范，形成统一的编码规则和接口规范。在软件系统选择上，要符合国际、国内标准的软件技术规范，并拥有优良性价比的设备，系统预留标准接口，可实现与第三方业务系统对接应用，接口平台应提供相关的基础功能接口和数据交换接口。</w:t>
            </w:r>
          </w:p>
          <w:p>
            <w:pPr>
              <w:pStyle w:val="null3"/>
            </w:pPr>
            <w:r>
              <w:rPr>
                <w:rFonts w:ascii="仿宋_GB2312" w:hAnsi="仿宋_GB2312" w:cs="仿宋_GB2312" w:eastAsia="仿宋_GB2312"/>
              </w:rPr>
              <w:t>1、具备基层网格系统对接能力并承担对接工作；</w:t>
            </w:r>
          </w:p>
          <w:p>
            <w:pPr>
              <w:pStyle w:val="null3"/>
            </w:pPr>
            <w:r>
              <w:rPr>
                <w:rFonts w:ascii="仿宋_GB2312" w:hAnsi="仿宋_GB2312" w:cs="仿宋_GB2312" w:eastAsia="仿宋_GB2312"/>
              </w:rPr>
              <w:t>2、本项目包含对接所产生的任何费用（含可能涉及到的第三方系统厂家定制开发费用）；</w:t>
            </w:r>
          </w:p>
          <w:p>
            <w:pPr>
              <w:pStyle w:val="null3"/>
            </w:pPr>
            <w:r>
              <w:rPr>
                <w:rFonts w:ascii="仿宋_GB2312" w:hAnsi="仿宋_GB2312" w:cs="仿宋_GB2312" w:eastAsia="仿宋_GB2312"/>
              </w:rPr>
              <w:t>3、确保省市对接的汇聚和协同功能畅通稳定；</w:t>
            </w:r>
          </w:p>
          <w:p>
            <w:pPr>
              <w:pStyle w:val="null3"/>
            </w:pPr>
            <w:r>
              <w:rPr>
                <w:rFonts w:ascii="仿宋_GB2312" w:hAnsi="仿宋_GB2312" w:cs="仿宋_GB2312" w:eastAsia="仿宋_GB2312"/>
              </w:rPr>
              <w:t>4、确保现有其他第三方对接渠道业务畅通稳定。</w:t>
            </w:r>
          </w:p>
          <w:p>
            <w:pPr>
              <w:pStyle w:val="null3"/>
              <w:outlineLvl w:val="3"/>
            </w:pPr>
            <w:r>
              <w:rPr>
                <w:rFonts w:ascii="仿宋_GB2312" w:hAnsi="仿宋_GB2312" w:cs="仿宋_GB2312" w:eastAsia="仿宋_GB2312"/>
                <w:sz w:val="24"/>
                <w:b/>
              </w:rPr>
              <w:t>1.3.2.7.历史数据迁移</w:t>
            </w:r>
          </w:p>
          <w:p>
            <w:pPr>
              <w:pStyle w:val="null3"/>
            </w:pPr>
            <w:r>
              <w:rPr>
                <w:rFonts w:ascii="仿宋_GB2312" w:hAnsi="仿宋_GB2312" w:cs="仿宋_GB2312" w:eastAsia="仿宋_GB2312"/>
              </w:rPr>
              <w:t>投标人提供本项目数据迁移方案：投标人需完成原有系统历史数据备份，针对历史数据梳理和分析系统模型、数据结构、工单信息数据，制定原系统数据迁移到新系统的数据迁移方案（包括工单信息、回复内容、附件信息、市民资料信息、录音数据、知识库数据等），重点关注在途工单数据迁移，要在不中断业务的同时完成数据迁移工作。</w:t>
            </w:r>
          </w:p>
          <w:p>
            <w:pPr>
              <w:pStyle w:val="null3"/>
              <w:outlineLvl w:val="3"/>
            </w:pPr>
            <w:r>
              <w:rPr>
                <w:rFonts w:ascii="仿宋_GB2312" w:hAnsi="仿宋_GB2312" w:cs="仿宋_GB2312" w:eastAsia="仿宋_GB2312"/>
                <w:sz w:val="24"/>
                <w:b/>
              </w:rPr>
              <w:t>1.3.2.8.性能要求</w:t>
            </w:r>
          </w:p>
          <w:p>
            <w:pPr>
              <w:pStyle w:val="null3"/>
            </w:pPr>
            <w:r>
              <w:rPr>
                <w:rFonts w:ascii="仿宋_GB2312" w:hAnsi="仿宋_GB2312" w:cs="仿宋_GB2312" w:eastAsia="仿宋_GB2312"/>
              </w:rPr>
              <w:t>1、响应时间：一般操作的响应时间在1秒内，历史性数据查询、汇总、统计性操作的响应时间为2秒以内；</w:t>
            </w:r>
          </w:p>
          <w:p>
            <w:pPr>
              <w:pStyle w:val="null3"/>
            </w:pPr>
            <w:r>
              <w:rPr>
                <w:rFonts w:ascii="仿宋_GB2312" w:hAnsi="仿宋_GB2312" w:cs="仿宋_GB2312" w:eastAsia="仿宋_GB2312"/>
              </w:rPr>
              <w:t>2、用户容量：后台200并发用户响应时间在2秒内，支持不少于10000个用户的管理和使用；</w:t>
            </w:r>
          </w:p>
          <w:p>
            <w:pPr>
              <w:pStyle w:val="null3"/>
            </w:pPr>
            <w:r>
              <w:rPr>
                <w:rFonts w:ascii="仿宋_GB2312" w:hAnsi="仿宋_GB2312" w:cs="仿宋_GB2312" w:eastAsia="仿宋_GB2312"/>
              </w:rPr>
              <w:t>3、对外接口性能：系统对外交互所有接口响应时间平均不超过1.5秒。</w:t>
            </w:r>
          </w:p>
          <w:p>
            <w:pPr>
              <w:pStyle w:val="null3"/>
            </w:pPr>
            <w:r>
              <w:rPr>
                <w:rFonts w:ascii="仿宋_GB2312" w:hAnsi="仿宋_GB2312" w:cs="仿宋_GB2312" w:eastAsia="仿宋_GB2312"/>
              </w:rPr>
              <w:t>4、系统支持在线升级，保证用户日常使用不受版本更新和维护的影响。</w:t>
            </w:r>
          </w:p>
          <w:p>
            <w:pPr>
              <w:pStyle w:val="null3"/>
            </w:pPr>
            <w:r>
              <w:rPr>
                <w:rFonts w:ascii="仿宋_GB2312" w:hAnsi="仿宋_GB2312" w:cs="仿宋_GB2312" w:eastAsia="仿宋_GB2312"/>
              </w:rPr>
              <w:t>5、系统稳定性，系统有效工作时间≥98%（每小时）。</w:t>
            </w:r>
          </w:p>
          <w:p>
            <w:pPr>
              <w:pStyle w:val="null3"/>
              <w:outlineLvl w:val="2"/>
            </w:pPr>
            <w:r>
              <w:rPr>
                <w:rFonts w:ascii="仿宋_GB2312" w:hAnsi="仿宋_GB2312" w:cs="仿宋_GB2312" w:eastAsia="仿宋_GB2312"/>
                <w:sz w:val="28"/>
                <w:b/>
              </w:rPr>
              <w:t>1.3.3.系统功能要求</w:t>
            </w:r>
          </w:p>
          <w:p>
            <w:pPr>
              <w:pStyle w:val="null3"/>
              <w:outlineLvl w:val="3"/>
            </w:pPr>
            <w:r>
              <w:rPr>
                <w:rFonts w:ascii="仿宋_GB2312" w:hAnsi="仿宋_GB2312" w:cs="仿宋_GB2312" w:eastAsia="仿宋_GB2312"/>
                <w:sz w:val="24"/>
                <w:b/>
              </w:rPr>
              <w:t>1.3.3.1.智能受理应用</w:t>
            </w:r>
          </w:p>
          <w:p>
            <w:pPr>
              <w:pStyle w:val="null3"/>
            </w:pPr>
            <w:r>
              <w:rPr>
                <w:rFonts w:ascii="仿宋_GB2312" w:hAnsi="仿宋_GB2312" w:cs="仿宋_GB2312" w:eastAsia="仿宋_GB2312"/>
              </w:rPr>
              <w:t>实现“智能受理”，提高坐席工作效率。系统借助大模型的智能对话总结及提取解析技术，能够实时将市民与坐席之间的通话识别为文本并进行对话内容总结，同时利用智能提取技术实时精准识别群众信息、事项标题、诉求类型、归口类型、问题属地、工单类型及事发地址、诉求期望等关键要素，且自动提取并填写至工单信息中，高效完成工单要素的自动补充与完善；通过技术对接手段与现有12345呼叫系统、工单系统进行集成融合，不改变现有坐席应用习惯。</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智能受理（含大模型技术应用）</w:t>
                  </w:r>
                </w:p>
              </w:tc>
              <w:tc>
                <w:tcPr>
                  <w:tcW w:type="dxa" w:w="426"/>
                </w:tcPr>
                <w:p>
                  <w:pPr>
                    <w:pStyle w:val="null3"/>
                  </w:pPr>
                  <w:r>
                    <w:rPr>
                      <w:rFonts w:ascii="仿宋_GB2312" w:hAnsi="仿宋_GB2312" w:cs="仿宋_GB2312" w:eastAsia="仿宋_GB2312"/>
                    </w:rPr>
                    <w:t>对话文本转译</w:t>
                  </w:r>
                </w:p>
              </w:tc>
              <w:tc>
                <w:tcPr>
                  <w:tcW w:type="dxa" w:w="426"/>
                </w:tcPr>
                <w:p>
                  <w:pPr>
                    <w:pStyle w:val="null3"/>
                  </w:pPr>
                  <w:r>
                    <w:rPr>
                      <w:rFonts w:ascii="仿宋_GB2312" w:hAnsi="仿宋_GB2312" w:cs="仿宋_GB2312" w:eastAsia="仿宋_GB2312"/>
                    </w:rPr>
                    <w:t>对话文本对接转译</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val="restart"/>
                </w:tcPr>
                <w:p>
                  <w:pPr>
                    <w:pStyle w:val="null3"/>
                  </w:pPr>
                  <w:r>
                    <w:rPr>
                      <w:rFonts w:ascii="仿宋_GB2312" w:hAnsi="仿宋_GB2312" w:cs="仿宋_GB2312" w:eastAsia="仿宋_GB2312"/>
                    </w:rPr>
                    <w:t>智能标注</w:t>
                  </w:r>
                </w:p>
              </w:tc>
              <w:tc>
                <w:tcPr>
                  <w:tcW w:type="dxa" w:w="426"/>
                </w:tcPr>
                <w:p>
                  <w:pPr>
                    <w:pStyle w:val="null3"/>
                  </w:pPr>
                  <w:r>
                    <w:rPr>
                      <w:rFonts w:ascii="仿宋_GB2312" w:hAnsi="仿宋_GB2312" w:cs="仿宋_GB2312" w:eastAsia="仿宋_GB2312"/>
                    </w:rPr>
                    <w:t>智能标签标注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情感分析提示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意图识别输出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val="restart"/>
                </w:tcPr>
                <w:p>
                  <w:pPr>
                    <w:pStyle w:val="null3"/>
                  </w:pPr>
                  <w:r>
                    <w:rPr>
                      <w:rFonts w:ascii="仿宋_GB2312" w:hAnsi="仿宋_GB2312" w:cs="仿宋_GB2312" w:eastAsia="仿宋_GB2312"/>
                    </w:rPr>
                    <w:t>智能填单</w:t>
                  </w:r>
                </w:p>
              </w:tc>
              <w:tc>
                <w:tcPr>
                  <w:tcW w:type="dxa" w:w="426"/>
                </w:tcPr>
                <w:p>
                  <w:pPr>
                    <w:pStyle w:val="null3"/>
                  </w:pPr>
                  <w:r>
                    <w:rPr>
                      <w:rFonts w:ascii="仿宋_GB2312" w:hAnsi="仿宋_GB2312" w:cs="仿宋_GB2312" w:eastAsia="仿宋_GB2312"/>
                    </w:rPr>
                    <w:t>实体提取-姓名提取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实体提取-地址提取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实体提取-时间提取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实体提取-主体提取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实体提取-词汇提取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标准地理信息</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标题摘要输出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归口提取</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内容总结输出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vMerge w:val="restart"/>
                </w:tcPr>
                <w:p>
                  <w:pPr>
                    <w:pStyle w:val="null3"/>
                  </w:pPr>
                  <w:r>
                    <w:rPr>
                      <w:rFonts w:ascii="仿宋_GB2312" w:hAnsi="仿宋_GB2312" w:cs="仿宋_GB2312" w:eastAsia="仿宋_GB2312"/>
                    </w:rPr>
                    <w:t>联动检索</w:t>
                  </w:r>
                </w:p>
              </w:tc>
              <w:tc>
                <w:tcPr>
                  <w:tcW w:type="dxa" w:w="426"/>
                </w:tcPr>
                <w:p>
                  <w:pPr>
                    <w:pStyle w:val="null3"/>
                  </w:pPr>
                  <w:r>
                    <w:rPr>
                      <w:rFonts w:ascii="仿宋_GB2312" w:hAnsi="仿宋_GB2312" w:cs="仿宋_GB2312" w:eastAsia="仿宋_GB2312"/>
                    </w:rPr>
                    <w:t>知识点智能推荐</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标准话术智能推荐</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tcPr>
                <w:p>
                  <w:pPr>
                    <w:pStyle w:val="null3"/>
                  </w:pPr>
                  <w:r>
                    <w:rPr>
                      <w:rFonts w:ascii="仿宋_GB2312" w:hAnsi="仿宋_GB2312" w:cs="仿宋_GB2312" w:eastAsia="仿宋_GB2312"/>
                    </w:rPr>
                    <w:t>实时质检</w:t>
                  </w:r>
                </w:p>
              </w:tc>
              <w:tc>
                <w:tcPr>
                  <w:tcW w:type="dxa" w:w="426"/>
                </w:tcPr>
                <w:p>
                  <w:pPr>
                    <w:pStyle w:val="null3"/>
                  </w:pPr>
                  <w:r>
                    <w:rPr>
                      <w:rFonts w:ascii="仿宋_GB2312" w:hAnsi="仿宋_GB2312" w:cs="仿宋_GB2312" w:eastAsia="仿宋_GB2312"/>
                    </w:rPr>
                    <w:t>包含语速、语调、情绪等提醒</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vMerge w:val="restart"/>
                </w:tcPr>
                <w:p>
                  <w:pPr>
                    <w:pStyle w:val="null3"/>
                  </w:pPr>
                  <w:r>
                    <w:rPr>
                      <w:rFonts w:ascii="仿宋_GB2312" w:hAnsi="仿宋_GB2312" w:cs="仿宋_GB2312" w:eastAsia="仿宋_GB2312"/>
                    </w:rPr>
                    <w:t>智能查重</w:t>
                  </w:r>
                </w:p>
              </w:tc>
              <w:tc>
                <w:tcPr>
                  <w:tcW w:type="dxa" w:w="426"/>
                </w:tcPr>
                <w:p>
                  <w:pPr>
                    <w:pStyle w:val="null3"/>
                  </w:pPr>
                  <w:r>
                    <w:rPr>
                      <w:rFonts w:ascii="仿宋_GB2312" w:hAnsi="仿宋_GB2312" w:cs="仿宋_GB2312" w:eastAsia="仿宋_GB2312"/>
                    </w:rPr>
                    <w:t>投诉文本智能匹配</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重复工单判定</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工单并单应用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20</w:t>
                  </w:r>
                </w:p>
              </w:tc>
              <w:tc>
                <w:tcPr>
                  <w:tcW w:type="dxa" w:w="426"/>
                  <w:vMerge/>
                </w:tcPr>
                <w:p/>
              </w:tc>
              <w:tc>
                <w:tcPr>
                  <w:tcW w:type="dxa" w:w="426"/>
                </w:tcPr>
                <w:p>
                  <w:pPr>
                    <w:pStyle w:val="null3"/>
                  </w:pPr>
                  <w:r>
                    <w:rPr>
                      <w:rFonts w:ascii="仿宋_GB2312" w:hAnsi="仿宋_GB2312" w:cs="仿宋_GB2312" w:eastAsia="仿宋_GB2312"/>
                    </w:rPr>
                    <w:t>并发授权</w:t>
                  </w:r>
                </w:p>
              </w:tc>
              <w:tc>
                <w:tcPr>
                  <w:tcW w:type="dxa" w:w="426"/>
                </w:tcPr>
                <w:p>
                  <w:pPr>
                    <w:pStyle w:val="null3"/>
                  </w:pPr>
                  <w:r>
                    <w:rPr>
                      <w:rFonts w:ascii="仿宋_GB2312" w:hAnsi="仿宋_GB2312" w:cs="仿宋_GB2312" w:eastAsia="仿宋_GB2312"/>
                    </w:rPr>
                    <w:t>用户坐席使用最大数量授权</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20</w:t>
                  </w:r>
                </w:p>
              </w:tc>
            </w:tr>
            <w:tr>
              <w:tc>
                <w:tcPr>
                  <w:tcW w:type="dxa" w:w="426"/>
                </w:tcPr>
                <w:p>
                  <w:pPr>
                    <w:pStyle w:val="null3"/>
                  </w:pPr>
                  <w:r>
                    <w:rPr>
                      <w:rFonts w:ascii="仿宋_GB2312" w:hAnsi="仿宋_GB2312" w:cs="仿宋_GB2312" w:eastAsia="仿宋_GB2312"/>
                    </w:rPr>
                    <w:t>21</w:t>
                  </w:r>
                </w:p>
              </w:tc>
              <w:tc>
                <w:tcPr>
                  <w:tcW w:type="dxa" w:w="426"/>
                  <w:vMerge/>
                </w:tcPr>
                <w:p/>
              </w:tc>
              <w:tc>
                <w:tcPr>
                  <w:tcW w:type="dxa" w:w="426"/>
                </w:tcPr>
                <w:p>
                  <w:pPr>
                    <w:pStyle w:val="null3"/>
                  </w:pPr>
                  <w:r>
                    <w:rPr>
                      <w:rFonts w:ascii="仿宋_GB2312" w:hAnsi="仿宋_GB2312" w:cs="仿宋_GB2312" w:eastAsia="仿宋_GB2312"/>
                    </w:rPr>
                    <w:t>人工终端</w:t>
                  </w:r>
                </w:p>
              </w:tc>
              <w:tc>
                <w:tcPr>
                  <w:tcW w:type="dxa" w:w="426"/>
                </w:tcPr>
                <w:p>
                  <w:pPr>
                    <w:pStyle w:val="null3"/>
                  </w:pPr>
                  <w:r>
                    <w:rPr>
                      <w:rFonts w:ascii="仿宋_GB2312" w:hAnsi="仿宋_GB2312" w:cs="仿宋_GB2312" w:eastAsia="仿宋_GB2312"/>
                    </w:rPr>
                    <w:t>1、机型：国产处理器商用台式机；含鼠标键盘。</w:t>
                  </w:r>
                </w:p>
                <w:p>
                  <w:pPr>
                    <w:pStyle w:val="null3"/>
                  </w:pPr>
                  <w:r>
                    <w:rPr>
                      <w:rFonts w:ascii="仿宋_GB2312" w:hAnsi="仿宋_GB2312" w:cs="仿宋_GB2312" w:eastAsia="仿宋_GB2312"/>
                    </w:rPr>
                    <w:t>2、处理器：主频≥2.7GHz、核心≥8个、缓存≥8MB；</w:t>
                  </w:r>
                </w:p>
                <w:p>
                  <w:pPr>
                    <w:pStyle w:val="null3"/>
                  </w:pPr>
                  <w:r>
                    <w:rPr>
                      <w:rFonts w:ascii="仿宋_GB2312" w:hAnsi="仿宋_GB2312" w:cs="仿宋_GB2312" w:eastAsia="仿宋_GB2312"/>
                    </w:rPr>
                    <w:t>3、内存：≥16GB DDR 42666 MHz内存，≥2个内存插槽；</w:t>
                  </w:r>
                </w:p>
                <w:p>
                  <w:pPr>
                    <w:pStyle w:val="null3"/>
                  </w:pPr>
                  <w:r>
                    <w:rPr>
                      <w:rFonts w:ascii="仿宋_GB2312" w:hAnsi="仿宋_GB2312" w:cs="仿宋_GB2312" w:eastAsia="仿宋_GB2312"/>
                    </w:rPr>
                    <w:t>4、硬盘：≥512GBSSD，预留3.5英寸SATA硬盘仓位；</w:t>
                  </w:r>
                </w:p>
                <w:p>
                  <w:pPr>
                    <w:pStyle w:val="null3"/>
                  </w:pPr>
                  <w:r>
                    <w:rPr>
                      <w:rFonts w:ascii="仿宋_GB2312" w:hAnsi="仿宋_GB2312" w:cs="仿宋_GB2312" w:eastAsia="仿宋_GB2312"/>
                    </w:rPr>
                    <w:t>5、显卡：高性能集成显卡</w:t>
                  </w:r>
                </w:p>
                <w:p>
                  <w:pPr>
                    <w:pStyle w:val="null3"/>
                  </w:pPr>
                  <w:r>
                    <w:rPr>
                      <w:rFonts w:ascii="仿宋_GB2312" w:hAnsi="仿宋_GB2312" w:cs="仿宋_GB2312" w:eastAsia="仿宋_GB2312"/>
                    </w:rPr>
                    <w:t>6、操作系统：预装国产操作系统</w:t>
                  </w:r>
                </w:p>
                <w:p>
                  <w:pPr>
                    <w:pStyle w:val="null3"/>
                  </w:pPr>
                  <w:r>
                    <w:rPr>
                      <w:rFonts w:ascii="仿宋_GB2312" w:hAnsi="仿宋_GB2312" w:cs="仿宋_GB2312" w:eastAsia="仿宋_GB2312"/>
                    </w:rPr>
                    <w:t>7、服务：3年保修</w:t>
                  </w:r>
                </w:p>
                <w:p>
                  <w:pPr>
                    <w:pStyle w:val="null3"/>
                  </w:pPr>
                  <w:r>
                    <w:rPr>
                      <w:rFonts w:ascii="仿宋_GB2312" w:hAnsi="仿宋_GB2312" w:cs="仿宋_GB2312" w:eastAsia="仿宋_GB2312"/>
                    </w:rPr>
                    <w:t>8、显示器：≥23.8寸液晶显示器。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50</w:t>
                  </w:r>
                </w:p>
              </w:tc>
            </w:tr>
          </w:tbl>
          <w:p>
            <w:pPr>
              <w:pStyle w:val="null3"/>
              <w:outlineLvl w:val="3"/>
            </w:pPr>
            <w:r>
              <w:rPr>
                <w:rFonts w:ascii="仿宋_GB2312" w:hAnsi="仿宋_GB2312" w:cs="仿宋_GB2312" w:eastAsia="仿宋_GB2312"/>
                <w:sz w:val="24"/>
                <w:b/>
              </w:rPr>
              <w:t>1.3.3.2.智能语音辅助应用</w:t>
            </w:r>
          </w:p>
          <w:p>
            <w:pPr>
              <w:pStyle w:val="null3"/>
              <w:outlineLvl w:val="4"/>
            </w:pPr>
            <w:r>
              <w:rPr>
                <w:rFonts w:ascii="仿宋_GB2312" w:hAnsi="仿宋_GB2312" w:cs="仿宋_GB2312" w:eastAsia="仿宋_GB2312"/>
                <w:sz w:val="20"/>
                <w:b/>
              </w:rPr>
              <w:t>1.3.3.2.1.智能客服应用</w:t>
            </w:r>
          </w:p>
          <w:p>
            <w:pPr>
              <w:pStyle w:val="null3"/>
            </w:pPr>
            <w:r>
              <w:rPr>
                <w:rFonts w:ascii="仿宋_GB2312" w:hAnsi="仿宋_GB2312" w:cs="仿宋_GB2312" w:eastAsia="仿宋_GB2312"/>
              </w:rPr>
              <w:t>在我市现有12345热线平台的基础上，引入AI机器人和大模型应用技术，实现智能接听和工单的智能登记，即：在坐席全忙的时候，由机器人智能接听并根据知识库内容快速检索并答复，如遇智能客服无法解决的问题，可直接转人工坐席。同时，可借助“坐席助手”实现工单所涉及的“人、时、地、事”等关键要素的智能提取和登记；智能客服可实现与用户“7×24小时”全天候服务的实时交互沟通和交流。AI机器人经过多轮训练后，可大幅提升12345热线的接通率，从而确保企业和群众诉求接得更快。</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功能描述</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智能语音客服</w:t>
                  </w:r>
                </w:p>
              </w:tc>
              <w:tc>
                <w:tcPr>
                  <w:tcW w:type="dxa" w:w="426"/>
                </w:tcPr>
                <w:p>
                  <w:pPr>
                    <w:pStyle w:val="null3"/>
                  </w:pPr>
                  <w:r>
                    <w:rPr>
                      <w:rFonts w:ascii="仿宋_GB2312" w:hAnsi="仿宋_GB2312" w:cs="仿宋_GB2312" w:eastAsia="仿宋_GB2312"/>
                    </w:rPr>
                    <w:t>业务机器人创建</w:t>
                  </w:r>
                </w:p>
              </w:tc>
              <w:tc>
                <w:tcPr>
                  <w:tcW w:type="dxa" w:w="426"/>
                </w:tcPr>
                <w:p>
                  <w:pPr>
                    <w:pStyle w:val="null3"/>
                  </w:pPr>
                  <w:r>
                    <w:rPr>
                      <w:rFonts w:ascii="仿宋_GB2312" w:hAnsi="仿宋_GB2312" w:cs="仿宋_GB2312" w:eastAsia="仿宋_GB2312"/>
                    </w:rPr>
                    <w:t>可在系统中设置新增业务机器人实例。</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tcPr>
                <w:p>
                  <w:pPr>
                    <w:pStyle w:val="null3"/>
                  </w:pPr>
                  <w:r>
                    <w:rPr>
                      <w:rFonts w:ascii="仿宋_GB2312" w:hAnsi="仿宋_GB2312" w:cs="仿宋_GB2312" w:eastAsia="仿宋_GB2312"/>
                    </w:rPr>
                    <w:t>设置流程引擎</w:t>
                  </w:r>
                </w:p>
              </w:tc>
              <w:tc>
                <w:tcPr>
                  <w:tcW w:type="dxa" w:w="426"/>
                </w:tcPr>
                <w:p>
                  <w:pPr>
                    <w:pStyle w:val="null3"/>
                  </w:pPr>
                  <w:r>
                    <w:rPr>
                      <w:rFonts w:ascii="仿宋_GB2312" w:hAnsi="仿宋_GB2312" w:cs="仿宋_GB2312" w:eastAsia="仿宋_GB2312"/>
                    </w:rPr>
                    <w:t>在系统中逐级设置智能语音客服业务逻辑，设置流程节点的逻辑关系和路由条件。</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tcPr>
                <w:p>
                  <w:pPr>
                    <w:pStyle w:val="null3"/>
                  </w:pPr>
                  <w:r>
                    <w:rPr>
                      <w:rFonts w:ascii="仿宋_GB2312" w:hAnsi="仿宋_GB2312" w:cs="仿宋_GB2312" w:eastAsia="仿宋_GB2312"/>
                    </w:rPr>
                    <w:t>知识库图谱联动</w:t>
                  </w:r>
                </w:p>
              </w:tc>
              <w:tc>
                <w:tcPr>
                  <w:tcW w:type="dxa" w:w="426"/>
                </w:tcPr>
                <w:p>
                  <w:pPr>
                    <w:pStyle w:val="null3"/>
                  </w:pPr>
                  <w:r>
                    <w:rPr>
                      <w:rFonts w:ascii="仿宋_GB2312" w:hAnsi="仿宋_GB2312" w:cs="仿宋_GB2312" w:eastAsia="仿宋_GB2312"/>
                    </w:rPr>
                    <w:t>设置机器人与知识库图谱的联动关系。</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tcPr>
                <w:p>
                  <w:pPr>
                    <w:pStyle w:val="null3"/>
                  </w:pPr>
                  <w:r>
                    <w:rPr>
                      <w:rFonts w:ascii="仿宋_GB2312" w:hAnsi="仿宋_GB2312" w:cs="仿宋_GB2312" w:eastAsia="仿宋_GB2312"/>
                    </w:rPr>
                    <w:t>设置服务规则</w:t>
                  </w:r>
                </w:p>
              </w:tc>
              <w:tc>
                <w:tcPr>
                  <w:tcW w:type="dxa" w:w="426"/>
                </w:tcPr>
                <w:p>
                  <w:pPr>
                    <w:pStyle w:val="null3"/>
                  </w:pPr>
                  <w:r>
                    <w:rPr>
                      <w:rFonts w:ascii="仿宋_GB2312" w:hAnsi="仿宋_GB2312" w:cs="仿宋_GB2312" w:eastAsia="仿宋_GB2312"/>
                    </w:rPr>
                    <w:t>设置机器人提供人机对话过程中异常应对逻辑及话术，包含召回、场景、应答、推荐、意图等策略。</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受理模型管理</w:t>
                  </w:r>
                </w:p>
              </w:tc>
              <w:tc>
                <w:tcPr>
                  <w:tcW w:type="dxa" w:w="426"/>
                </w:tcPr>
                <w:p>
                  <w:pPr>
                    <w:pStyle w:val="null3"/>
                  </w:pPr>
                  <w:r>
                    <w:rPr>
                      <w:rFonts w:ascii="仿宋_GB2312" w:hAnsi="仿宋_GB2312" w:cs="仿宋_GB2312" w:eastAsia="仿宋_GB2312"/>
                    </w:rPr>
                    <w:t>根据需求可设置能通过机器人引导完成的工单要素模板，用于自助下单服务。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tcPr>
                <w:p>
                  <w:pPr>
                    <w:pStyle w:val="null3"/>
                  </w:pPr>
                  <w:r>
                    <w:rPr>
                      <w:rFonts w:ascii="仿宋_GB2312" w:hAnsi="仿宋_GB2312" w:cs="仿宋_GB2312" w:eastAsia="仿宋_GB2312"/>
                    </w:rPr>
                    <w:t>自助下单应用</w:t>
                  </w:r>
                </w:p>
              </w:tc>
              <w:tc>
                <w:tcPr>
                  <w:tcW w:type="dxa" w:w="426"/>
                </w:tcPr>
                <w:p>
                  <w:pPr>
                    <w:pStyle w:val="null3"/>
                  </w:pPr>
                  <w:r>
                    <w:rPr>
                      <w:rFonts w:ascii="仿宋_GB2312" w:hAnsi="仿宋_GB2312" w:cs="仿宋_GB2312" w:eastAsia="仿宋_GB2312"/>
                    </w:rPr>
                    <w:t>建立通话后，系统自动引导群众完成工单要素的诉说，系统自动记录并形成工单。</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tcPr>
                <w:p>
                  <w:pPr>
                    <w:pStyle w:val="null3"/>
                  </w:pPr>
                  <w:r>
                    <w:rPr>
                      <w:rFonts w:ascii="仿宋_GB2312" w:hAnsi="仿宋_GB2312" w:cs="仿宋_GB2312" w:eastAsia="仿宋_GB2312"/>
                    </w:rPr>
                    <w:t>历史工单列表</w:t>
                  </w:r>
                </w:p>
              </w:tc>
              <w:tc>
                <w:tcPr>
                  <w:tcW w:type="dxa" w:w="426"/>
                </w:tcPr>
                <w:p>
                  <w:pPr>
                    <w:pStyle w:val="null3"/>
                  </w:pPr>
                  <w:r>
                    <w:rPr>
                      <w:rFonts w:ascii="仿宋_GB2312" w:hAnsi="仿宋_GB2312" w:cs="仿宋_GB2312" w:eastAsia="仿宋_GB2312"/>
                    </w:rPr>
                    <w:t>系统提供历史自助下单列表，支持查看表单内容和坐席二次受理功能。</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tcPr>
                <w:p>
                  <w:pPr>
                    <w:pStyle w:val="null3"/>
                  </w:pPr>
                  <w:r>
                    <w:rPr>
                      <w:rFonts w:ascii="仿宋_GB2312" w:hAnsi="仿宋_GB2312" w:cs="仿宋_GB2312" w:eastAsia="仿宋_GB2312"/>
                    </w:rPr>
                    <w:t>录音听取功能</w:t>
                  </w:r>
                </w:p>
              </w:tc>
              <w:tc>
                <w:tcPr>
                  <w:tcW w:type="dxa" w:w="426"/>
                </w:tcPr>
                <w:p>
                  <w:pPr>
                    <w:pStyle w:val="null3"/>
                  </w:pPr>
                  <w:r>
                    <w:rPr>
                      <w:rFonts w:ascii="仿宋_GB2312" w:hAnsi="仿宋_GB2312" w:cs="仿宋_GB2312" w:eastAsia="仿宋_GB2312"/>
                    </w:rPr>
                    <w:t>系统支持通过历史下单列表，逐个点击听取录音。</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tcPr>
                <w:p>
                  <w:pPr>
                    <w:pStyle w:val="null3"/>
                  </w:pPr>
                  <w:r>
                    <w:rPr>
                      <w:rFonts w:ascii="仿宋_GB2312" w:hAnsi="仿宋_GB2312" w:cs="仿宋_GB2312" w:eastAsia="仿宋_GB2312"/>
                    </w:rPr>
                    <w:t>对话文本输出</w:t>
                  </w:r>
                </w:p>
              </w:tc>
              <w:tc>
                <w:tcPr>
                  <w:tcW w:type="dxa" w:w="426"/>
                </w:tcPr>
                <w:p>
                  <w:pPr>
                    <w:pStyle w:val="null3"/>
                  </w:pPr>
                  <w:r>
                    <w:rPr>
                      <w:rFonts w:ascii="仿宋_GB2312" w:hAnsi="仿宋_GB2312" w:cs="仿宋_GB2312" w:eastAsia="仿宋_GB2312"/>
                    </w:rPr>
                    <w:t>系统支持自助下单对话流程，以文本形式输出展示。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tcPr>
                <w:p>
                  <w:pPr>
                    <w:pStyle w:val="null3"/>
                  </w:pPr>
                  <w:r>
                    <w:rPr>
                      <w:rFonts w:ascii="仿宋_GB2312" w:hAnsi="仿宋_GB2312" w:cs="仿宋_GB2312" w:eastAsia="仿宋_GB2312"/>
                    </w:rPr>
                    <w:t>转人工服务</w:t>
                  </w:r>
                </w:p>
              </w:tc>
              <w:tc>
                <w:tcPr>
                  <w:tcW w:type="dxa" w:w="426"/>
                </w:tcPr>
                <w:p>
                  <w:pPr>
                    <w:pStyle w:val="null3"/>
                  </w:pPr>
                  <w:r>
                    <w:rPr>
                      <w:rFonts w:ascii="仿宋_GB2312" w:hAnsi="仿宋_GB2312" w:cs="仿宋_GB2312" w:eastAsia="仿宋_GB2312"/>
                    </w:rPr>
                    <w:t>系统支持转接人工坐席，建立人人语音通话服务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outlineLvl w:val="4"/>
            </w:pPr>
            <w:r>
              <w:rPr>
                <w:rFonts w:ascii="仿宋_GB2312" w:hAnsi="仿宋_GB2312" w:cs="仿宋_GB2312" w:eastAsia="仿宋_GB2312"/>
                <w:sz w:val="20"/>
                <w:b/>
              </w:rPr>
              <w:t>1.3.3.2.2.网络呼叫应用</w:t>
            </w:r>
          </w:p>
          <w:p>
            <w:pPr>
              <w:pStyle w:val="null3"/>
            </w:pPr>
            <w:r>
              <w:rPr>
                <w:rFonts w:ascii="仿宋_GB2312" w:hAnsi="仿宋_GB2312" w:cs="仿宋_GB2312" w:eastAsia="仿宋_GB2312"/>
              </w:rPr>
              <w:t>在传统的语音中继接入模式的云呼话务系统基础上，引入WebRtc新技术应用，实现网络呼叫新应用，拓展新的应用场景，提高操作便捷性，解决工单处置过程中无沟通录音的缺陷问题，与传统语音中继通话建立互补机制。群众或企业在文本对话过程中，可根据需要直接请求语音对话，提供更高效的服务方式。</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网络呼叫应用</w:t>
                  </w:r>
                </w:p>
              </w:tc>
              <w:tc>
                <w:tcPr>
                  <w:tcW w:type="dxa" w:w="426"/>
                  <w:vMerge w:val="restart"/>
                </w:tcPr>
                <w:p>
                  <w:pPr>
                    <w:pStyle w:val="null3"/>
                  </w:pPr>
                  <w:r>
                    <w:rPr>
                      <w:rFonts w:ascii="仿宋_GB2312" w:hAnsi="仿宋_GB2312" w:cs="仿宋_GB2312" w:eastAsia="仿宋_GB2312"/>
                    </w:rPr>
                    <w:t>网络呼叫</w:t>
                  </w:r>
                </w:p>
              </w:tc>
              <w:tc>
                <w:tcPr>
                  <w:tcW w:type="dxa" w:w="426"/>
                </w:tcPr>
                <w:p>
                  <w:pPr>
                    <w:pStyle w:val="null3"/>
                  </w:pPr>
                  <w:r>
                    <w:rPr>
                      <w:rFonts w:ascii="仿宋_GB2312" w:hAnsi="仿宋_GB2312" w:cs="仿宋_GB2312" w:eastAsia="仿宋_GB2312"/>
                    </w:rPr>
                    <w:t>WebRtc与SIP融合</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码号接收</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通话记录</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通话录音</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网页分机授权</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50</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承办单位回访呼叫</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tcPr>
                <w:p>
                  <w:pPr>
                    <w:pStyle w:val="null3"/>
                  </w:pPr>
                  <w:r>
                    <w:rPr>
                      <w:rFonts w:ascii="仿宋_GB2312" w:hAnsi="仿宋_GB2312" w:cs="仿宋_GB2312" w:eastAsia="仿宋_GB2312"/>
                    </w:rPr>
                    <w:t>接入模式</w:t>
                  </w:r>
                </w:p>
              </w:tc>
              <w:tc>
                <w:tcPr>
                  <w:tcW w:type="dxa" w:w="426"/>
                </w:tcPr>
                <w:p>
                  <w:pPr>
                    <w:pStyle w:val="null3"/>
                  </w:pPr>
                  <w:r>
                    <w:rPr>
                      <w:rFonts w:ascii="仿宋_GB2312" w:hAnsi="仿宋_GB2312" w:cs="仿宋_GB2312" w:eastAsia="仿宋_GB2312"/>
                    </w:rPr>
                    <w:t>SIP中继接入</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outlineLvl w:val="3"/>
            </w:pPr>
            <w:r>
              <w:rPr>
                <w:rFonts w:ascii="仿宋_GB2312" w:hAnsi="仿宋_GB2312" w:cs="仿宋_GB2312" w:eastAsia="仿宋_GB2312"/>
                <w:sz w:val="24"/>
                <w:b/>
              </w:rPr>
              <w:t>1.3.3.3.智能知识库应用</w:t>
            </w:r>
          </w:p>
          <w:p>
            <w:pPr>
              <w:pStyle w:val="null3"/>
            </w:pPr>
            <w:r>
              <w:rPr>
                <w:rFonts w:ascii="仿宋_GB2312" w:hAnsi="仿宋_GB2312" w:cs="仿宋_GB2312" w:eastAsia="仿宋_GB2312"/>
              </w:rPr>
              <w:t>本项目通过升级智能知识库，规范知识对知识库内容进行结构化展示及逻辑关联，逐层建立知识目录，将知识点细化拆分，实现知识点管理，提高搜索定位精准度。通过搭建“建、用、优”一体化知识库系统，建立权威准确、标准统一、实时更新、共建共享“有问必应”的知识内容，通过引入大模型技术应用，打造“精准理解、深度推理、动态进化”的智能应用。对复杂语义的泛化理解能力，结合本地政务知识库的精细化标注与训练，实现市民咨询的意图精准识别、政策文件的场景化解读及多轮对话动态响应，确保政策解答的权威性与实时性。</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智能知识库</w:t>
                  </w:r>
                </w:p>
              </w:tc>
              <w:tc>
                <w:tcPr>
                  <w:tcW w:type="dxa" w:w="426"/>
                  <w:vMerge w:val="restart"/>
                </w:tcPr>
                <w:p>
                  <w:pPr>
                    <w:pStyle w:val="null3"/>
                  </w:pPr>
                  <w:r>
                    <w:rPr>
                      <w:rFonts w:ascii="仿宋_GB2312" w:hAnsi="仿宋_GB2312" w:cs="仿宋_GB2312" w:eastAsia="仿宋_GB2312"/>
                    </w:rPr>
                    <w:t>基本功能升级</w:t>
                  </w:r>
                </w:p>
              </w:tc>
              <w:tc>
                <w:tcPr>
                  <w:tcW w:type="dxa" w:w="426"/>
                </w:tcPr>
                <w:p>
                  <w:pPr>
                    <w:pStyle w:val="null3"/>
                  </w:pPr>
                  <w:r>
                    <w:rPr>
                      <w:rFonts w:ascii="仿宋_GB2312" w:hAnsi="仿宋_GB2312" w:cs="仿宋_GB2312" w:eastAsia="仿宋_GB2312"/>
                    </w:rPr>
                    <w:t>知识序列中增加热点序列</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知识点新增时必选热点末级</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支持删除知识序列</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知识点到期时间管理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知识点贡献数据统计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知识到期前提醒</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休眠政策管理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知识库学习数据统计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热线知识点数据统计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val="restart"/>
                </w:tcPr>
                <w:p>
                  <w:pPr>
                    <w:pStyle w:val="null3"/>
                  </w:pPr>
                  <w:r>
                    <w:rPr>
                      <w:rFonts w:ascii="仿宋_GB2312" w:hAnsi="仿宋_GB2312" w:cs="仿宋_GB2312" w:eastAsia="仿宋_GB2312"/>
                    </w:rPr>
                    <w:t>智能化应用升级</w:t>
                  </w:r>
                </w:p>
              </w:tc>
              <w:tc>
                <w:tcPr>
                  <w:tcW w:type="dxa" w:w="426"/>
                </w:tcPr>
                <w:p>
                  <w:pPr>
                    <w:pStyle w:val="null3"/>
                  </w:pPr>
                  <w:r>
                    <w:rPr>
                      <w:rFonts w:ascii="仿宋_GB2312" w:hAnsi="仿宋_GB2312" w:cs="仿宋_GB2312" w:eastAsia="仿宋_GB2312"/>
                    </w:rPr>
                    <w:t>政策解读应用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超长内容解读应用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知识图谱管理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知识标签提取应用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生成式问答应用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引导式问答应用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僵尸问题列表应用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vMerge w:val="restart"/>
                </w:tcPr>
                <w:p>
                  <w:pPr>
                    <w:pStyle w:val="null3"/>
                  </w:pPr>
                  <w:r>
                    <w:rPr>
                      <w:rFonts w:ascii="仿宋_GB2312" w:hAnsi="仿宋_GB2312" w:cs="仿宋_GB2312" w:eastAsia="仿宋_GB2312"/>
                    </w:rPr>
                    <w:t>智能检索应用</w:t>
                  </w:r>
                </w:p>
              </w:tc>
              <w:tc>
                <w:tcPr>
                  <w:tcW w:type="dxa" w:w="426"/>
                </w:tcPr>
                <w:p>
                  <w:pPr>
                    <w:pStyle w:val="null3"/>
                  </w:pPr>
                  <w:r>
                    <w:rPr>
                      <w:rFonts w:ascii="仿宋_GB2312" w:hAnsi="仿宋_GB2312" w:cs="仿宋_GB2312" w:eastAsia="仿宋_GB2312"/>
                    </w:rPr>
                    <w:t>搜索联想应用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多关键字检索应用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一句话检索应用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20</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知识点高亮显示应用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高频咨询问题推荐应用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微信公众号智能问答</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其他第三方问答接口</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p>
            <w:pPr>
              <w:pStyle w:val="null3"/>
              <w:outlineLvl w:val="3"/>
            </w:pPr>
            <w:r>
              <w:rPr>
                <w:rFonts w:ascii="仿宋_GB2312" w:hAnsi="仿宋_GB2312" w:cs="仿宋_GB2312" w:eastAsia="仿宋_GB2312"/>
                <w:sz w:val="24"/>
                <w:b/>
              </w:rPr>
              <w:t>1.3.3.4.智能质检应用</w:t>
            </w:r>
          </w:p>
          <w:p>
            <w:pPr>
              <w:pStyle w:val="null3"/>
            </w:pPr>
            <w:r>
              <w:rPr>
                <w:rFonts w:ascii="仿宋_GB2312" w:hAnsi="仿宋_GB2312" w:cs="仿宋_GB2312" w:eastAsia="仿宋_GB2312"/>
              </w:rPr>
              <w:t>开启AI智能机器人，可实现每天对坐席在工作过程中使用的话语规范、话术标准、作业流程、语音语速、语气语调等内容，根据全程录音情况进行基于上下文交互场景的自动化质检分析与评价。通过语音播放与文字对照，对全量的录音数据进行质量筛选，以辅助质检，并可实现对坐席从业人员执业情况的科学管理和评价。</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智能质检应用</w:t>
                  </w:r>
                </w:p>
              </w:tc>
              <w:tc>
                <w:tcPr>
                  <w:tcW w:type="dxa" w:w="426"/>
                  <w:vMerge w:val="restart"/>
                </w:tcPr>
                <w:p>
                  <w:pPr>
                    <w:pStyle w:val="null3"/>
                  </w:pPr>
                  <w:r>
                    <w:rPr>
                      <w:rFonts w:ascii="仿宋_GB2312" w:hAnsi="仿宋_GB2312" w:cs="仿宋_GB2312" w:eastAsia="仿宋_GB2312"/>
                    </w:rPr>
                    <w:t>质检配置</w:t>
                  </w:r>
                </w:p>
              </w:tc>
              <w:tc>
                <w:tcPr>
                  <w:tcW w:type="dxa" w:w="426"/>
                </w:tcPr>
                <w:p>
                  <w:pPr>
                    <w:pStyle w:val="null3"/>
                  </w:pPr>
                  <w:r>
                    <w:rPr>
                      <w:rFonts w:ascii="仿宋_GB2312" w:hAnsi="仿宋_GB2312" w:cs="仿宋_GB2312" w:eastAsia="仿宋_GB2312"/>
                    </w:rPr>
                    <w:t>智能质检维度管理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质检规则管理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质检打分项管理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质检打分模板管理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val="restart"/>
                </w:tcPr>
                <w:p>
                  <w:pPr>
                    <w:pStyle w:val="null3"/>
                  </w:pPr>
                  <w:r>
                    <w:rPr>
                      <w:rFonts w:ascii="仿宋_GB2312" w:hAnsi="仿宋_GB2312" w:cs="仿宋_GB2312" w:eastAsia="仿宋_GB2312"/>
                    </w:rPr>
                    <w:t>质检任务</w:t>
                  </w:r>
                </w:p>
              </w:tc>
              <w:tc>
                <w:tcPr>
                  <w:tcW w:type="dxa" w:w="426"/>
                </w:tcPr>
                <w:p>
                  <w:pPr>
                    <w:pStyle w:val="null3"/>
                  </w:pPr>
                  <w:r>
                    <w:rPr>
                      <w:rFonts w:ascii="仿宋_GB2312" w:hAnsi="仿宋_GB2312" w:cs="仿宋_GB2312" w:eastAsia="仿宋_GB2312"/>
                    </w:rPr>
                    <w:t>智能质检任务管理</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工单任务抽查</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人工复核质检</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录音质检</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人工质检</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val="restart"/>
                </w:tcPr>
                <w:p>
                  <w:pPr>
                    <w:pStyle w:val="null3"/>
                  </w:pPr>
                  <w:r>
                    <w:rPr>
                      <w:rFonts w:ascii="仿宋_GB2312" w:hAnsi="仿宋_GB2312" w:cs="仿宋_GB2312" w:eastAsia="仿宋_GB2312"/>
                    </w:rPr>
                    <w:t>质检申诉流程</w:t>
                  </w:r>
                </w:p>
              </w:tc>
              <w:tc>
                <w:tcPr>
                  <w:tcW w:type="dxa" w:w="426"/>
                </w:tcPr>
                <w:p>
                  <w:pPr>
                    <w:pStyle w:val="null3"/>
                  </w:pPr>
                  <w:r>
                    <w:rPr>
                      <w:rFonts w:ascii="仿宋_GB2312" w:hAnsi="仿宋_GB2312" w:cs="仿宋_GB2312" w:eastAsia="仿宋_GB2312"/>
                    </w:rPr>
                    <w:t>申诉申请功能</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申诉待复核功能</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申诉已复核功能</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vMerge w:val="restart"/>
                </w:tcPr>
                <w:p>
                  <w:pPr>
                    <w:pStyle w:val="null3"/>
                  </w:pPr>
                  <w:r>
                    <w:rPr>
                      <w:rFonts w:ascii="仿宋_GB2312" w:hAnsi="仿宋_GB2312" w:cs="仿宋_GB2312" w:eastAsia="仿宋_GB2312"/>
                    </w:rPr>
                    <w:t>智能质检汇总</w:t>
                  </w:r>
                </w:p>
              </w:tc>
              <w:tc>
                <w:tcPr>
                  <w:tcW w:type="dxa" w:w="426"/>
                </w:tcPr>
                <w:p>
                  <w:pPr>
                    <w:pStyle w:val="null3"/>
                  </w:pPr>
                  <w:r>
                    <w:rPr>
                      <w:rFonts w:ascii="仿宋_GB2312" w:hAnsi="仿宋_GB2312" w:cs="仿宋_GB2312" w:eastAsia="仿宋_GB2312"/>
                    </w:rPr>
                    <w:t>质检能力汇总</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质检能力报表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vMerge w:val="restart"/>
                </w:tcPr>
                <w:p>
                  <w:pPr>
                    <w:pStyle w:val="null3"/>
                  </w:pPr>
                  <w:r>
                    <w:rPr>
                      <w:rFonts w:ascii="仿宋_GB2312" w:hAnsi="仿宋_GB2312" w:cs="仿宋_GB2312" w:eastAsia="仿宋_GB2312"/>
                    </w:rPr>
                    <w:t>质检结果统计</w:t>
                  </w:r>
                </w:p>
              </w:tc>
              <w:tc>
                <w:tcPr>
                  <w:tcW w:type="dxa" w:w="426"/>
                </w:tcPr>
                <w:p>
                  <w:pPr>
                    <w:pStyle w:val="null3"/>
                  </w:pPr>
                  <w:r>
                    <w:rPr>
                      <w:rFonts w:ascii="仿宋_GB2312" w:hAnsi="仿宋_GB2312" w:cs="仿宋_GB2312" w:eastAsia="仿宋_GB2312"/>
                    </w:rPr>
                    <w:t>扣分人员统计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质检扣分考核</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质检扣分详情分析</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质检扣分统计报表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outlineLvl w:val="3"/>
            </w:pPr>
            <w:r>
              <w:rPr>
                <w:rFonts w:ascii="仿宋_GB2312" w:hAnsi="仿宋_GB2312" w:cs="仿宋_GB2312" w:eastAsia="仿宋_GB2312"/>
                <w:sz w:val="24"/>
                <w:b/>
              </w:rPr>
              <w:t>1.3.3.5.智能回访应用</w:t>
            </w:r>
          </w:p>
          <w:p>
            <w:pPr>
              <w:pStyle w:val="null3"/>
            </w:pPr>
            <w:r>
              <w:rPr>
                <w:rFonts w:ascii="仿宋_GB2312" w:hAnsi="仿宋_GB2312" w:cs="仿宋_GB2312" w:eastAsia="仿宋_GB2312"/>
              </w:rPr>
              <w:t>借助AI智能机器人，在机器人外呼的同时，能够快速识别出诉求人的答复内容，从而实现与诉求人自然流畅地交流和互动。在此基础上，还可将已办结工单的办理结果告知诉求人，并征询诉求人对服务的满意度评价。在此技术的加持下，可不断增强企业和群众的体验感，解决好我市民生领域的难点、堵点问题，确保企业和群众诉求“事事有回音，件件有着落”，从而不断提升企业和群众的满意度。</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智能回访</w:t>
                  </w:r>
                </w:p>
              </w:tc>
              <w:tc>
                <w:tcPr>
                  <w:tcW w:type="dxa" w:w="426"/>
                  <w:vMerge w:val="restart"/>
                </w:tcPr>
                <w:p>
                  <w:pPr>
                    <w:pStyle w:val="null3"/>
                  </w:pPr>
                  <w:r>
                    <w:rPr>
                      <w:rFonts w:ascii="仿宋_GB2312" w:hAnsi="仿宋_GB2312" w:cs="仿宋_GB2312" w:eastAsia="仿宋_GB2312"/>
                    </w:rPr>
                    <w:t>智能外呼</w:t>
                  </w:r>
                </w:p>
              </w:tc>
              <w:tc>
                <w:tcPr>
                  <w:tcW w:type="dxa" w:w="426"/>
                </w:tcPr>
                <w:p>
                  <w:pPr>
                    <w:pStyle w:val="null3"/>
                  </w:pPr>
                  <w:r>
                    <w:rPr>
                      <w:rFonts w:ascii="仿宋_GB2312" w:hAnsi="仿宋_GB2312" w:cs="仿宋_GB2312" w:eastAsia="仿宋_GB2312"/>
                    </w:rPr>
                    <w:t>语音机器人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10</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现有CTI对接</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回访录音录制</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val="restart"/>
                </w:tcPr>
                <w:p>
                  <w:pPr>
                    <w:pStyle w:val="null3"/>
                  </w:pPr>
                  <w:r>
                    <w:rPr>
                      <w:rFonts w:ascii="仿宋_GB2312" w:hAnsi="仿宋_GB2312" w:cs="仿宋_GB2312" w:eastAsia="仿宋_GB2312"/>
                    </w:rPr>
                    <w:t>回访管理</w:t>
                  </w:r>
                </w:p>
              </w:tc>
              <w:tc>
                <w:tcPr>
                  <w:tcW w:type="dxa" w:w="426"/>
                </w:tcPr>
                <w:p>
                  <w:pPr>
                    <w:pStyle w:val="null3"/>
                  </w:pPr>
                  <w:r>
                    <w:rPr>
                      <w:rFonts w:ascii="仿宋_GB2312" w:hAnsi="仿宋_GB2312" w:cs="仿宋_GB2312" w:eastAsia="仿宋_GB2312"/>
                    </w:rPr>
                    <w:t>回访数据接入</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回访流程设计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回访规则设置</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智能回访应用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转回人工应用</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回访结果推送（含不满意原因总结）</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回访结果统计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呼叫情况统计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语音回访并发授权</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10</w:t>
                  </w:r>
                </w:p>
              </w:tc>
            </w:tr>
          </w:tbl>
          <w:p>
            <w:pPr>
              <w:pStyle w:val="null3"/>
              <w:outlineLvl w:val="3"/>
            </w:pPr>
            <w:r>
              <w:rPr>
                <w:rFonts w:ascii="仿宋_GB2312" w:hAnsi="仿宋_GB2312" w:cs="仿宋_GB2312" w:eastAsia="仿宋_GB2312"/>
                <w:sz w:val="24"/>
                <w:b/>
              </w:rPr>
              <w:t>1.3.3.6.智能在线考试应用</w:t>
            </w:r>
          </w:p>
          <w:p>
            <w:pPr>
              <w:pStyle w:val="null3"/>
            </w:pPr>
            <w:r>
              <w:rPr>
                <w:rFonts w:ascii="仿宋_GB2312" w:hAnsi="仿宋_GB2312" w:cs="仿宋_GB2312" w:eastAsia="仿宋_GB2312"/>
              </w:rPr>
              <w:t>智能在线考试应用包括智能多样化组卷，防作弊，多维度数据分析等，能够帮助轻松完成题库系统建设、考核等。智能在线考试应用组织考试，考生可以电子化考试，突破纸笔的局限，节省考试考核成本，也方便对考试工作的管理。智能在线考试应用分为考试管理和题库管理两部分。</w:t>
            </w:r>
          </w:p>
          <w:p>
            <w:pPr>
              <w:pStyle w:val="null3"/>
              <w:outlineLvl w:val="4"/>
            </w:pPr>
            <w:r>
              <w:rPr>
                <w:rFonts w:ascii="仿宋_GB2312" w:hAnsi="仿宋_GB2312" w:cs="仿宋_GB2312" w:eastAsia="仿宋_GB2312"/>
                <w:sz w:val="20"/>
                <w:b/>
              </w:rPr>
              <w:t>1.3.3.6.1.考试管理</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考试管理</w:t>
                  </w:r>
                </w:p>
              </w:tc>
              <w:tc>
                <w:tcPr>
                  <w:tcW w:type="dxa" w:w="426"/>
                  <w:vMerge w:val="restart"/>
                </w:tcPr>
                <w:p>
                  <w:pPr>
                    <w:pStyle w:val="null3"/>
                  </w:pPr>
                  <w:r>
                    <w:rPr>
                      <w:rFonts w:ascii="仿宋_GB2312" w:hAnsi="仿宋_GB2312" w:cs="仿宋_GB2312" w:eastAsia="仿宋_GB2312"/>
                    </w:rPr>
                    <w:t>创建考试</w:t>
                  </w:r>
                </w:p>
              </w:tc>
              <w:tc>
                <w:tcPr>
                  <w:tcW w:type="dxa" w:w="426"/>
                </w:tcPr>
                <w:p>
                  <w:pPr>
                    <w:pStyle w:val="null3"/>
                  </w:pPr>
                  <w:r>
                    <w:rPr>
                      <w:rFonts w:ascii="仿宋_GB2312" w:hAnsi="仿宋_GB2312" w:cs="仿宋_GB2312" w:eastAsia="仿宋_GB2312"/>
                    </w:rPr>
                    <w:t>考试基本信息</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添加试题，设置试卷参数</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考试预览</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发布试卷</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val="restart"/>
                </w:tcPr>
                <w:p>
                  <w:pPr>
                    <w:pStyle w:val="null3"/>
                  </w:pPr>
                  <w:r>
                    <w:rPr>
                      <w:rFonts w:ascii="仿宋_GB2312" w:hAnsi="仿宋_GB2312" w:cs="仿宋_GB2312" w:eastAsia="仿宋_GB2312"/>
                    </w:rPr>
                    <w:t>试卷管理</w:t>
                  </w:r>
                </w:p>
              </w:tc>
              <w:tc>
                <w:tcPr>
                  <w:tcW w:type="dxa" w:w="426"/>
                </w:tcPr>
                <w:p>
                  <w:pPr>
                    <w:pStyle w:val="null3"/>
                  </w:pPr>
                  <w:r>
                    <w:rPr>
                      <w:rFonts w:ascii="仿宋_GB2312" w:hAnsi="仿宋_GB2312" w:cs="仿宋_GB2312" w:eastAsia="仿宋_GB2312"/>
                    </w:rPr>
                    <w:t>试卷分类</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设计试卷</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分数设置</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计分规则</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随机试卷</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乱序设置</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val="restart"/>
                </w:tcPr>
                <w:p>
                  <w:pPr>
                    <w:pStyle w:val="null3"/>
                  </w:pPr>
                  <w:r>
                    <w:rPr>
                      <w:rFonts w:ascii="仿宋_GB2312" w:hAnsi="仿宋_GB2312" w:cs="仿宋_GB2312" w:eastAsia="仿宋_GB2312"/>
                    </w:rPr>
                    <w:t>阅卷管理</w:t>
                  </w:r>
                </w:p>
              </w:tc>
              <w:tc>
                <w:tcPr>
                  <w:tcW w:type="dxa" w:w="426"/>
                </w:tcPr>
                <w:p>
                  <w:pPr>
                    <w:pStyle w:val="null3"/>
                  </w:pPr>
                  <w:r>
                    <w:rPr>
                      <w:rFonts w:ascii="仿宋_GB2312" w:hAnsi="仿宋_GB2312" w:cs="仿宋_GB2312" w:eastAsia="仿宋_GB2312"/>
                    </w:rPr>
                    <w:t>自动判分（客观题）</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系统预判分值（主观题）</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手动批卷（主观题）</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14</w:t>
                  </w:r>
                </w:p>
              </w:tc>
              <w:tc>
                <w:tcPr>
                  <w:tcW w:type="dxa" w:w="426"/>
                  <w:vMerge/>
                </w:tcPr>
                <w:p/>
              </w:tc>
              <w:tc>
                <w:tcPr>
                  <w:tcW w:type="dxa" w:w="426"/>
                  <w:vMerge w:val="restart"/>
                </w:tcPr>
                <w:p>
                  <w:pPr>
                    <w:pStyle w:val="null3"/>
                  </w:pPr>
                  <w:r>
                    <w:rPr>
                      <w:rFonts w:ascii="仿宋_GB2312" w:hAnsi="仿宋_GB2312" w:cs="仿宋_GB2312" w:eastAsia="仿宋_GB2312"/>
                    </w:rPr>
                    <w:t>统计分析</w:t>
                  </w:r>
                </w:p>
              </w:tc>
              <w:tc>
                <w:tcPr>
                  <w:tcW w:type="dxa" w:w="426"/>
                </w:tcPr>
                <w:p>
                  <w:pPr>
                    <w:pStyle w:val="null3"/>
                  </w:pPr>
                  <w:r>
                    <w:rPr>
                      <w:rFonts w:ascii="仿宋_GB2312" w:hAnsi="仿宋_GB2312" w:cs="仿宋_GB2312" w:eastAsia="仿宋_GB2312"/>
                    </w:rPr>
                    <w:t>基本统计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客观题统计</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成绩排名</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outlineLvl w:val="4"/>
            </w:pPr>
            <w:r>
              <w:rPr>
                <w:rFonts w:ascii="仿宋_GB2312" w:hAnsi="仿宋_GB2312" w:cs="仿宋_GB2312" w:eastAsia="仿宋_GB2312"/>
                <w:sz w:val="20"/>
                <w:b/>
              </w:rPr>
              <w:t>1.3.3.6.2.题库管理</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题库管理</w:t>
                  </w:r>
                </w:p>
              </w:tc>
              <w:tc>
                <w:tcPr>
                  <w:tcW w:type="dxa" w:w="426"/>
                  <w:vMerge w:val="restart"/>
                </w:tcPr>
                <w:p>
                  <w:pPr>
                    <w:pStyle w:val="null3"/>
                  </w:pPr>
                  <w:r>
                    <w:rPr>
                      <w:rFonts w:ascii="仿宋_GB2312" w:hAnsi="仿宋_GB2312" w:cs="仿宋_GB2312" w:eastAsia="仿宋_GB2312"/>
                    </w:rPr>
                    <w:t>题库分类</w:t>
                  </w:r>
                </w:p>
              </w:tc>
              <w:tc>
                <w:tcPr>
                  <w:tcW w:type="dxa" w:w="426"/>
                </w:tcPr>
                <w:p>
                  <w:pPr>
                    <w:pStyle w:val="null3"/>
                  </w:pPr>
                  <w:r>
                    <w:rPr>
                      <w:rFonts w:ascii="仿宋_GB2312" w:hAnsi="仿宋_GB2312" w:cs="仿宋_GB2312" w:eastAsia="仿宋_GB2312"/>
                    </w:rPr>
                    <w:t>按知识点分类</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按流程环节分类</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val="restart"/>
                </w:tcPr>
                <w:p>
                  <w:pPr>
                    <w:pStyle w:val="null3"/>
                  </w:pPr>
                  <w:r>
                    <w:rPr>
                      <w:rFonts w:ascii="仿宋_GB2312" w:hAnsi="仿宋_GB2312" w:cs="仿宋_GB2312" w:eastAsia="仿宋_GB2312"/>
                    </w:rPr>
                    <w:t>题型支持</w:t>
                  </w:r>
                </w:p>
              </w:tc>
              <w:tc>
                <w:tcPr>
                  <w:tcW w:type="dxa" w:w="426"/>
                </w:tcPr>
                <w:p>
                  <w:pPr>
                    <w:pStyle w:val="null3"/>
                  </w:pPr>
                  <w:r>
                    <w:rPr>
                      <w:rFonts w:ascii="仿宋_GB2312" w:hAnsi="仿宋_GB2312" w:cs="仿宋_GB2312" w:eastAsia="仿宋_GB2312"/>
                    </w:rPr>
                    <w:t>客观题型</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主观题型</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tcPr>
                <w:p>
                  <w:pPr>
                    <w:pStyle w:val="null3"/>
                  </w:pPr>
                  <w:r>
                    <w:rPr>
                      <w:rFonts w:ascii="仿宋_GB2312" w:hAnsi="仿宋_GB2312" w:cs="仿宋_GB2312" w:eastAsia="仿宋_GB2312"/>
                    </w:rPr>
                    <w:t>Excel批量导题</w:t>
                  </w:r>
                </w:p>
              </w:tc>
              <w:tc>
                <w:tcPr>
                  <w:tcW w:type="dxa" w:w="426"/>
                </w:tcPr>
                <w:p>
                  <w:pPr>
                    <w:pStyle w:val="null3"/>
                  </w:pPr>
                  <w:r>
                    <w:rPr>
                      <w:rFonts w:ascii="仿宋_GB2312" w:hAnsi="仿宋_GB2312" w:cs="仿宋_GB2312" w:eastAsia="仿宋_GB2312"/>
                    </w:rPr>
                    <w:t>Excel批量导题</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tcPr>
                <w:p>
                  <w:pPr>
                    <w:pStyle w:val="null3"/>
                  </w:pPr>
                  <w:r>
                    <w:rPr>
                      <w:rFonts w:ascii="仿宋_GB2312" w:hAnsi="仿宋_GB2312" w:cs="仿宋_GB2312" w:eastAsia="仿宋_GB2312"/>
                    </w:rPr>
                    <w:t>系统出题</w:t>
                  </w:r>
                </w:p>
              </w:tc>
              <w:tc>
                <w:tcPr>
                  <w:tcW w:type="dxa" w:w="426"/>
                </w:tcPr>
                <w:p>
                  <w:pPr>
                    <w:pStyle w:val="null3"/>
                  </w:pPr>
                  <w:r>
                    <w:rPr>
                      <w:rFonts w:ascii="仿宋_GB2312" w:hAnsi="仿宋_GB2312" w:cs="仿宋_GB2312" w:eastAsia="仿宋_GB2312"/>
                    </w:rPr>
                    <w:t>根据政策文件系统自动出题</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tcPr>
                <w:p>
                  <w:pPr>
                    <w:pStyle w:val="null3"/>
                  </w:pPr>
                  <w:r>
                    <w:rPr>
                      <w:rFonts w:ascii="仿宋_GB2312" w:hAnsi="仿宋_GB2312" w:cs="仿宋_GB2312" w:eastAsia="仿宋_GB2312"/>
                    </w:rPr>
                    <w:t>导出题库</w:t>
                  </w:r>
                </w:p>
              </w:tc>
              <w:tc>
                <w:tcPr>
                  <w:tcW w:type="dxa" w:w="426"/>
                </w:tcPr>
                <w:p>
                  <w:pPr>
                    <w:pStyle w:val="null3"/>
                  </w:pPr>
                  <w:r>
                    <w:rPr>
                      <w:rFonts w:ascii="仿宋_GB2312" w:hAnsi="仿宋_GB2312" w:cs="仿宋_GB2312" w:eastAsia="仿宋_GB2312"/>
                    </w:rPr>
                    <w:t>批量导出题库至本地</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pPr>
            <w:r>
              <w:rPr>
                <w:rFonts w:ascii="仿宋_GB2312" w:hAnsi="仿宋_GB2312" w:cs="仿宋_GB2312" w:eastAsia="仿宋_GB2312"/>
              </w:rPr>
              <w:t xml:space="preserve"> </w:t>
            </w:r>
          </w:p>
          <w:p>
            <w:pPr>
              <w:pStyle w:val="null3"/>
              <w:outlineLvl w:val="3"/>
            </w:pPr>
            <w:r>
              <w:rPr>
                <w:rFonts w:ascii="仿宋_GB2312" w:hAnsi="仿宋_GB2312" w:cs="仿宋_GB2312" w:eastAsia="仿宋_GB2312"/>
                <w:sz w:val="24"/>
                <w:b/>
              </w:rPr>
              <w:t>1.3.3.7.数据预警分析应用</w:t>
            </w:r>
          </w:p>
          <w:p>
            <w:pPr>
              <w:pStyle w:val="null3"/>
            </w:pPr>
            <w:r>
              <w:rPr>
                <w:rFonts w:ascii="仿宋_GB2312" w:hAnsi="仿宋_GB2312" w:cs="仿宋_GB2312" w:eastAsia="仿宋_GB2312"/>
              </w:rPr>
              <w:t>系统通过实时监测与深度分析12345热线接收的多元化诉求数据，能够敏锐捕捉并预警潜在的社会问题和民生关切。依托全量汇聚数据并经大模型精确提取的高质量数据元素，设计多维度实时预警分析模型。模型紧密围绕热线数据中的关键词、热词及新词等，对当前热线态势进行智能预警。</w:t>
            </w:r>
          </w:p>
          <w:p>
            <w:pPr>
              <w:pStyle w:val="null3"/>
            </w:pPr>
            <w:r>
              <w:rPr>
                <w:rFonts w:ascii="仿宋_GB2312" w:hAnsi="仿宋_GB2312" w:cs="仿宋_GB2312" w:eastAsia="仿宋_GB2312"/>
              </w:rPr>
              <w:t>系统实现关键词分析预警、热点事项预警、急难险重事项预警、群发事项预警、高频涉事主体预警以及苗头事项预警，确保各类问题、事项能够得到及时预警。</w:t>
            </w:r>
          </w:p>
          <w:tbl>
            <w:tblPr>
              <w:tblBorders>
                <w:top w:val="single"/>
                <w:left w:val="single"/>
                <w:bottom w:val="single"/>
                <w:right w:val="single"/>
                <w:insideH w:val="single"/>
                <w:insideV w:val="single"/>
              </w:tblBorders>
            </w:tblPr>
            <w:tblGrid>
              <w:gridCol w:w="365"/>
              <w:gridCol w:w="365"/>
              <w:gridCol w:w="365"/>
              <w:gridCol w:w="365"/>
              <w:gridCol w:w="365"/>
              <w:gridCol w:w="365"/>
              <w:gridCol w:w="365"/>
            </w:tblGrid>
            <w:tr>
              <w:tc>
                <w:tcPr>
                  <w:tcW w:type="dxa" w:w="365"/>
                </w:tcPr>
                <w:p>
                  <w:pPr>
                    <w:pStyle w:val="null3"/>
                  </w:pPr>
                  <w:r>
                    <w:rPr>
                      <w:rFonts w:ascii="仿宋_GB2312" w:hAnsi="仿宋_GB2312" w:cs="仿宋_GB2312" w:eastAsia="仿宋_GB2312"/>
                    </w:rPr>
                    <w:t>序号</w:t>
                  </w:r>
                </w:p>
              </w:tc>
              <w:tc>
                <w:tcPr>
                  <w:tcW w:type="dxa" w:w="365"/>
                </w:tcPr>
                <w:p>
                  <w:pPr>
                    <w:pStyle w:val="null3"/>
                  </w:pPr>
                  <w:r>
                    <w:rPr>
                      <w:rFonts w:ascii="仿宋_GB2312" w:hAnsi="仿宋_GB2312" w:cs="仿宋_GB2312" w:eastAsia="仿宋_GB2312"/>
                    </w:rPr>
                    <w:t>一级功能</w:t>
                  </w:r>
                </w:p>
              </w:tc>
              <w:tc>
                <w:tcPr>
                  <w:tcW w:type="dxa" w:w="365"/>
                </w:tcPr>
                <w:p>
                  <w:pPr>
                    <w:pStyle w:val="null3"/>
                  </w:pPr>
                  <w:r>
                    <w:rPr>
                      <w:rFonts w:ascii="仿宋_GB2312" w:hAnsi="仿宋_GB2312" w:cs="仿宋_GB2312" w:eastAsia="仿宋_GB2312"/>
                    </w:rPr>
                    <w:t>二级功能</w:t>
                  </w:r>
                </w:p>
              </w:tc>
              <w:tc>
                <w:tcPr>
                  <w:tcW w:type="dxa" w:w="365"/>
                </w:tcPr>
                <w:p>
                  <w:pPr>
                    <w:pStyle w:val="null3"/>
                  </w:pPr>
                  <w:r>
                    <w:rPr>
                      <w:rFonts w:ascii="仿宋_GB2312" w:hAnsi="仿宋_GB2312" w:cs="仿宋_GB2312" w:eastAsia="仿宋_GB2312"/>
                    </w:rPr>
                    <w:t>三级功能</w:t>
                  </w:r>
                </w:p>
              </w:tc>
              <w:tc>
                <w:tcPr>
                  <w:tcW w:type="dxa" w:w="365"/>
                </w:tcPr>
                <w:p>
                  <w:pPr>
                    <w:pStyle w:val="null3"/>
                  </w:pPr>
                  <w:r>
                    <w:rPr>
                      <w:rFonts w:ascii="仿宋_GB2312" w:hAnsi="仿宋_GB2312" w:cs="仿宋_GB2312" w:eastAsia="仿宋_GB2312"/>
                    </w:rPr>
                    <w:t>功能描述</w:t>
                  </w:r>
                </w:p>
              </w:tc>
              <w:tc>
                <w:tcPr>
                  <w:tcW w:type="dxa" w:w="365"/>
                </w:tcPr>
                <w:p>
                  <w:pPr>
                    <w:pStyle w:val="null3"/>
                  </w:pPr>
                  <w:r>
                    <w:rPr>
                      <w:rFonts w:ascii="仿宋_GB2312" w:hAnsi="仿宋_GB2312" w:cs="仿宋_GB2312" w:eastAsia="仿宋_GB2312"/>
                    </w:rPr>
                    <w:t>单位</w:t>
                  </w:r>
                </w:p>
              </w:tc>
              <w:tc>
                <w:tcPr>
                  <w:tcW w:type="dxa" w:w="365"/>
                </w:tcPr>
                <w:p>
                  <w:pPr>
                    <w:pStyle w:val="null3"/>
                  </w:pPr>
                  <w:r>
                    <w:rPr>
                      <w:rFonts w:ascii="仿宋_GB2312" w:hAnsi="仿宋_GB2312" w:cs="仿宋_GB2312" w:eastAsia="仿宋_GB2312"/>
                    </w:rPr>
                    <w:t>数量</w:t>
                  </w:r>
                </w:p>
              </w:tc>
            </w:tr>
            <w:tr>
              <w:tc>
                <w:tcPr>
                  <w:tcW w:type="dxa" w:w="365"/>
                </w:tcPr>
                <w:p>
                  <w:pPr>
                    <w:pStyle w:val="null3"/>
                  </w:pPr>
                  <w:r>
                    <w:rPr>
                      <w:rFonts w:ascii="仿宋_GB2312" w:hAnsi="仿宋_GB2312" w:cs="仿宋_GB2312" w:eastAsia="仿宋_GB2312"/>
                    </w:rPr>
                    <w:t>1</w:t>
                  </w:r>
                </w:p>
              </w:tc>
              <w:tc>
                <w:tcPr>
                  <w:tcW w:type="dxa" w:w="365"/>
                  <w:vMerge w:val="restart"/>
                </w:tcPr>
                <w:p>
                  <w:pPr>
                    <w:pStyle w:val="null3"/>
                  </w:pPr>
                  <w:r>
                    <w:rPr>
                      <w:rFonts w:ascii="仿宋_GB2312" w:hAnsi="仿宋_GB2312" w:cs="仿宋_GB2312" w:eastAsia="仿宋_GB2312"/>
                    </w:rPr>
                    <w:t>数据预警分析服务</w:t>
                  </w:r>
                </w:p>
              </w:tc>
              <w:tc>
                <w:tcPr>
                  <w:tcW w:type="dxa" w:w="365"/>
                  <w:vMerge w:val="restart"/>
                </w:tcPr>
                <w:p>
                  <w:pPr>
                    <w:pStyle w:val="null3"/>
                  </w:pPr>
                  <w:r>
                    <w:rPr>
                      <w:rFonts w:ascii="仿宋_GB2312" w:hAnsi="仿宋_GB2312" w:cs="仿宋_GB2312" w:eastAsia="仿宋_GB2312"/>
                    </w:rPr>
                    <w:t>预警算法</w:t>
                  </w:r>
                </w:p>
              </w:tc>
              <w:tc>
                <w:tcPr>
                  <w:tcW w:type="dxa" w:w="365"/>
                </w:tcPr>
                <w:p>
                  <w:pPr>
                    <w:pStyle w:val="null3"/>
                  </w:pPr>
                  <w:r>
                    <w:rPr>
                      <w:rFonts w:ascii="仿宋_GB2312" w:hAnsi="仿宋_GB2312" w:cs="仿宋_GB2312" w:eastAsia="仿宋_GB2312"/>
                    </w:rPr>
                    <w:t>热词分析算法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新词分析算法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苗头性分析算法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区域顽疾分析算法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5</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堵点分析算法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6</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乱点分析算法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7</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高频高发分析算法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群众多次不满意分析算法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9</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多部门推诿分析分析算法</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10</w:t>
                  </w:r>
                </w:p>
              </w:tc>
              <w:tc>
                <w:tcPr>
                  <w:tcW w:type="dxa" w:w="365"/>
                  <w:vMerge/>
                </w:tcPr>
                <w:p/>
              </w:tc>
              <w:tc>
                <w:tcPr>
                  <w:tcW w:type="dxa" w:w="365"/>
                  <w:vMerge w:val="restart"/>
                </w:tcPr>
                <w:p>
                  <w:pPr>
                    <w:pStyle w:val="null3"/>
                  </w:pPr>
                  <w:r>
                    <w:rPr>
                      <w:rFonts w:ascii="仿宋_GB2312" w:hAnsi="仿宋_GB2312" w:cs="仿宋_GB2312" w:eastAsia="仿宋_GB2312"/>
                    </w:rPr>
                    <w:t>关键词实时预警监测</w:t>
                  </w:r>
                </w:p>
              </w:tc>
              <w:tc>
                <w:tcPr>
                  <w:tcW w:type="dxa" w:w="365"/>
                </w:tcPr>
                <w:p>
                  <w:pPr>
                    <w:pStyle w:val="null3"/>
                  </w:pPr>
                  <w:r>
                    <w:rPr>
                      <w:rFonts w:ascii="仿宋_GB2312" w:hAnsi="仿宋_GB2312" w:cs="仿宋_GB2312" w:eastAsia="仿宋_GB2312"/>
                    </w:rPr>
                    <w:t>关键词实时预警Top10</w:t>
                  </w:r>
                </w:p>
              </w:tc>
              <w:tc>
                <w:tcPr>
                  <w:tcW w:type="dxa" w:w="365"/>
                </w:tcPr>
                <w:p>
                  <w:pPr>
                    <w:pStyle w:val="null3"/>
                  </w:pPr>
                  <w:r>
                    <w:rPr>
                      <w:rFonts w:ascii="仿宋_GB2312" w:hAnsi="仿宋_GB2312" w:cs="仿宋_GB2312" w:eastAsia="仿宋_GB2312"/>
                    </w:rPr>
                    <w:t>按时间段监测热词、新词、诉求热点、诉求新点top10数据预警，选择某一个热词、新词，支持下钻分析展示。</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11</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涉及群众监测预警</w:t>
                  </w:r>
                </w:p>
              </w:tc>
              <w:tc>
                <w:tcPr>
                  <w:tcW w:type="dxa" w:w="365"/>
                </w:tcPr>
                <w:p>
                  <w:pPr>
                    <w:pStyle w:val="null3"/>
                  </w:pPr>
                  <w:r>
                    <w:rPr>
                      <w:rFonts w:ascii="仿宋_GB2312" w:hAnsi="仿宋_GB2312" w:cs="仿宋_GB2312" w:eastAsia="仿宋_GB2312"/>
                    </w:rPr>
                    <w:t>涉及群众-一人多次数模块据概览。</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涉及群众-一人多次模块支持查看同一人反映不同事项排名top5单内容；支持选择对应数字可下钻分析，最终查看工单详情。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13</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涉及群众-一人多次数模块支持查看同一事件诉求量排名top5，支持选择对应数字可下钻分析，最终查看工单详情。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14</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涉及群众-多人一诉模块事项维度、问题属地维度分析，支持选择对应数字可下钻分析，最终查看工单详情。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涉及群众-多人一诉模块支持同一类事项分析、同一件事项分析，支持选择对应数字可下钻分析，最终查看工单详情。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16</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涉及事项监测预警</w:t>
                  </w:r>
                </w:p>
              </w:tc>
              <w:tc>
                <w:tcPr>
                  <w:tcW w:type="dxa" w:w="365"/>
                </w:tcPr>
                <w:p>
                  <w:pPr>
                    <w:pStyle w:val="null3"/>
                  </w:pPr>
                  <w:r>
                    <w:rPr>
                      <w:rFonts w:ascii="仿宋_GB2312" w:hAnsi="仿宋_GB2312" w:cs="仿宋_GB2312" w:eastAsia="仿宋_GB2312"/>
                    </w:rPr>
                    <w:t>涉及事项-事项图谱模块支持以图谱形式分析展示。</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涉及事项-急难险重分析模块，支持以急难险重标签展示对应工单量，可查看功能类别及详情。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涉及事项-关键词关联分析模块，支持以图谱形式展示各个工单质检关键字的关联分析。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19</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涉及区域监测预警</w:t>
                  </w:r>
                </w:p>
              </w:tc>
              <w:tc>
                <w:tcPr>
                  <w:tcW w:type="dxa" w:w="365"/>
                </w:tcPr>
                <w:p>
                  <w:pPr>
                    <w:pStyle w:val="null3"/>
                  </w:pPr>
                  <w:r>
                    <w:rPr>
                      <w:rFonts w:ascii="仿宋_GB2312" w:hAnsi="仿宋_GB2312" w:cs="仿宋_GB2312" w:eastAsia="仿宋_GB2312"/>
                    </w:rPr>
                    <w:t>涉及区域分析：支持展示对应区县、街办、具体地址的top排名诉求量，选择事项量和工单量数字可查看工单量列表。</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20</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涉及时间监测预警</w:t>
                  </w:r>
                </w:p>
              </w:tc>
              <w:tc>
                <w:tcPr>
                  <w:tcW w:type="dxa" w:w="365"/>
                </w:tcPr>
                <w:p>
                  <w:pPr>
                    <w:pStyle w:val="null3"/>
                  </w:pPr>
                  <w:r>
                    <w:rPr>
                      <w:rFonts w:ascii="仿宋_GB2312" w:hAnsi="仿宋_GB2312" w:cs="仿宋_GB2312" w:eastAsia="仿宋_GB2312"/>
                    </w:rPr>
                    <w:t>涉及时间分析：支持工单趋势分析展示：以时间段（周、月、季度、年、自定义时间段）展示相关工单量的趋势图；</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21</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涉事主体监测预警</w:t>
                  </w:r>
                </w:p>
              </w:tc>
              <w:tc>
                <w:tcPr>
                  <w:tcW w:type="dxa" w:w="365"/>
                </w:tcPr>
                <w:p>
                  <w:pPr>
                    <w:pStyle w:val="null3"/>
                  </w:pPr>
                  <w:r>
                    <w:rPr>
                      <w:rFonts w:ascii="仿宋_GB2312" w:hAnsi="仿宋_GB2312" w:cs="仿宋_GB2312" w:eastAsia="仿宋_GB2312"/>
                    </w:rPr>
                    <w:t>涉及涉事主体：支持涉事主体工单量排名top5，选择工单量数字可查看工单列表信息，可查看交叉事项内容。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22</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支持涉事主体类型排名top5，选择涉事主体量数字可查看该类型下涉事主体工单量信息。</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23</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涉及承办部门监测预警</w:t>
                  </w:r>
                </w:p>
              </w:tc>
              <w:tc>
                <w:tcPr>
                  <w:tcW w:type="dxa" w:w="365"/>
                </w:tcPr>
                <w:p>
                  <w:pPr>
                    <w:pStyle w:val="null3"/>
                  </w:pPr>
                  <w:r>
                    <w:rPr>
                      <w:rFonts w:ascii="仿宋_GB2312" w:hAnsi="仿宋_GB2312" w:cs="仿宋_GB2312" w:eastAsia="仿宋_GB2312"/>
                    </w:rPr>
                    <w:t>涉及承办单位，支持展示承办单位工单量TOP5排名、承办单位不满意量TOP5排名、承办单位未办量Top5、承办单位未按时办结量Top5、承办单位延期量Top5、承办单位重办量Top5；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24</w:t>
                  </w:r>
                </w:p>
              </w:tc>
              <w:tc>
                <w:tcPr>
                  <w:tcW w:type="dxa" w:w="365"/>
                  <w:vMerge/>
                </w:tcPr>
                <w:p/>
              </w:tc>
              <w:tc>
                <w:tcPr>
                  <w:tcW w:type="dxa" w:w="365"/>
                  <w:vMerge w:val="restart"/>
                </w:tcPr>
                <w:p>
                  <w:pPr>
                    <w:pStyle w:val="null3"/>
                  </w:pPr>
                  <w:r>
                    <w:rPr>
                      <w:rFonts w:ascii="仿宋_GB2312" w:hAnsi="仿宋_GB2312" w:cs="仿宋_GB2312" w:eastAsia="仿宋_GB2312"/>
                    </w:rPr>
                    <w:t>热点事项监测</w:t>
                  </w:r>
                </w:p>
              </w:tc>
              <w:tc>
                <w:tcPr>
                  <w:tcW w:type="dxa" w:w="365"/>
                </w:tcPr>
                <w:p>
                  <w:pPr>
                    <w:pStyle w:val="null3"/>
                  </w:pPr>
                  <w:r>
                    <w:rPr>
                      <w:rFonts w:ascii="仿宋_GB2312" w:hAnsi="仿宋_GB2312" w:cs="仿宋_GB2312" w:eastAsia="仿宋_GB2312"/>
                    </w:rPr>
                    <w:t>热点事项监测Top10</w:t>
                  </w:r>
                </w:p>
              </w:tc>
              <w:tc>
                <w:tcPr>
                  <w:tcW w:type="dxa" w:w="365"/>
                </w:tcPr>
                <w:p>
                  <w:pPr>
                    <w:pStyle w:val="null3"/>
                  </w:pPr>
                  <w:r>
                    <w:rPr>
                      <w:rFonts w:ascii="仿宋_GB2312" w:hAnsi="仿宋_GB2312" w:cs="仿宋_GB2312" w:eastAsia="仿宋_GB2312"/>
                    </w:rPr>
                    <w:t>按预警级别监测热点、新点事项列表,以热点、新点名称监测事项量及分布量区域；支持数据下钻分析。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25</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涉及群众监测预警</w:t>
                  </w:r>
                </w:p>
              </w:tc>
              <w:tc>
                <w:tcPr>
                  <w:tcW w:type="dxa" w:w="365"/>
                </w:tcPr>
                <w:p>
                  <w:pPr>
                    <w:pStyle w:val="null3"/>
                  </w:pPr>
                  <w:r>
                    <w:rPr>
                      <w:rFonts w:ascii="仿宋_GB2312" w:hAnsi="仿宋_GB2312" w:cs="仿宋_GB2312" w:eastAsia="仿宋_GB2312"/>
                    </w:rPr>
                    <w:t>涉及群众-一人多次数模块据概览。</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26</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涉及群众-一人多次模块支持查看同一人反映不同事项排名top5单内容；支持选择对应数字可下钻分析，最终查看工单详情。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27</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涉及群众-一人多次数模块支持查看同一事件诉求量排名top5，支持选择对应数字可下钻分析，最终查看工单详情。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28</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涉及群众-一事多人模块事项维度、问题属地维度分析，支持选择对应数字可下钻分析，最终查看工单详情。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29</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涉及群众-一事多人模块支持同一类事项分析、同一件事项分析，支持选择对应数字可下钻分析，最终查看工单详情。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30</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涉及事项监测预警</w:t>
                  </w:r>
                </w:p>
              </w:tc>
              <w:tc>
                <w:tcPr>
                  <w:tcW w:type="dxa" w:w="365"/>
                </w:tcPr>
                <w:p>
                  <w:pPr>
                    <w:pStyle w:val="null3"/>
                  </w:pPr>
                  <w:r>
                    <w:rPr>
                      <w:rFonts w:ascii="仿宋_GB2312" w:hAnsi="仿宋_GB2312" w:cs="仿宋_GB2312" w:eastAsia="仿宋_GB2312"/>
                    </w:rPr>
                    <w:t>涉及事项-事项图谱模块支持以图谱形式分析展示。</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31</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涉及事项-急难险重分析模块，支持以急难险重标签展示对应工单量，可查看功能类别及详情。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32</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涉及区域监测预警</w:t>
                  </w:r>
                </w:p>
              </w:tc>
              <w:tc>
                <w:tcPr>
                  <w:tcW w:type="dxa" w:w="365"/>
                </w:tcPr>
                <w:p>
                  <w:pPr>
                    <w:pStyle w:val="null3"/>
                  </w:pPr>
                  <w:r>
                    <w:rPr>
                      <w:rFonts w:ascii="仿宋_GB2312" w:hAnsi="仿宋_GB2312" w:cs="仿宋_GB2312" w:eastAsia="仿宋_GB2312"/>
                    </w:rPr>
                    <w:t>涉及区域分析：支持展示对应区县、街办、具体地址的top排名诉求量，选择事项量和工单量数字可查看工单量列表。</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33</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涉及时间监测预警</w:t>
                  </w:r>
                </w:p>
              </w:tc>
              <w:tc>
                <w:tcPr>
                  <w:tcW w:type="dxa" w:w="365"/>
                </w:tcPr>
                <w:p>
                  <w:pPr>
                    <w:pStyle w:val="null3"/>
                  </w:pPr>
                  <w:r>
                    <w:rPr>
                      <w:rFonts w:ascii="仿宋_GB2312" w:hAnsi="仿宋_GB2312" w:cs="仿宋_GB2312" w:eastAsia="仿宋_GB2312"/>
                    </w:rPr>
                    <w:t>涉及时间分析：支持工单趋势分析展示：以时间段（周、月、季度、年、自定义时间段）展示相关工单量的趋势图。</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34</w:t>
                  </w:r>
                </w:p>
              </w:tc>
              <w:tc>
                <w:tcPr>
                  <w:tcW w:type="dxa" w:w="365"/>
                  <w:vMerge/>
                </w:tcPr>
                <w:p/>
              </w:tc>
              <w:tc>
                <w:tcPr>
                  <w:tcW w:type="dxa" w:w="365"/>
                  <w:vMerge/>
                </w:tcPr>
                <w:p/>
              </w:tc>
              <w:tc>
                <w:tcPr>
                  <w:tcW w:type="dxa" w:w="365"/>
                  <w:vMerge w:val="restart"/>
                </w:tcPr>
                <w:p>
                  <w:pPr>
                    <w:pStyle w:val="null3"/>
                  </w:pPr>
                  <w:r>
                    <w:rPr>
                      <w:rFonts w:ascii="仿宋_GB2312" w:hAnsi="仿宋_GB2312" w:cs="仿宋_GB2312" w:eastAsia="仿宋_GB2312"/>
                    </w:rPr>
                    <w:t>涉事主体监测预警</w:t>
                  </w:r>
                </w:p>
              </w:tc>
              <w:tc>
                <w:tcPr>
                  <w:tcW w:type="dxa" w:w="365"/>
                </w:tcPr>
                <w:p>
                  <w:pPr>
                    <w:pStyle w:val="null3"/>
                  </w:pPr>
                  <w:r>
                    <w:rPr>
                      <w:rFonts w:ascii="仿宋_GB2312" w:hAnsi="仿宋_GB2312" w:cs="仿宋_GB2312" w:eastAsia="仿宋_GB2312"/>
                    </w:rPr>
                    <w:t>涉及涉事主体：支持涉事主体工单量排名top5，选择工单量数字可查看工单列表信息，可查看交叉事项内容。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35</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支持涉事主体类型排名top5，选择涉事主体量数字可查看该类型下涉事主体工单量信息。</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36</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涉及承办部门监测预警</w:t>
                  </w:r>
                </w:p>
              </w:tc>
              <w:tc>
                <w:tcPr>
                  <w:tcW w:type="dxa" w:w="365"/>
                </w:tcPr>
                <w:p>
                  <w:pPr>
                    <w:pStyle w:val="null3"/>
                  </w:pPr>
                  <w:r>
                    <w:rPr>
                      <w:rFonts w:ascii="仿宋_GB2312" w:hAnsi="仿宋_GB2312" w:cs="仿宋_GB2312" w:eastAsia="仿宋_GB2312"/>
                    </w:rPr>
                    <w:t>涉及承办单位，支持展示承办单位工单量TOP5排名、承办单位不满意量TOP5排名、承办单位未办量Top5、承办单位未按时办结量Top5、承办单位延期量Top5、承办单位重办量Top5；支持选择对应数字可下钻分析，最终查看工单详情。</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37</w:t>
                  </w:r>
                </w:p>
              </w:tc>
              <w:tc>
                <w:tcPr>
                  <w:tcW w:type="dxa" w:w="365"/>
                  <w:vMerge/>
                </w:tcPr>
                <w:p/>
              </w:tc>
              <w:tc>
                <w:tcPr>
                  <w:tcW w:type="dxa" w:w="365"/>
                  <w:vMerge w:val="restart"/>
                </w:tcPr>
                <w:p>
                  <w:pPr>
                    <w:pStyle w:val="null3"/>
                  </w:pPr>
                  <w:r>
                    <w:rPr>
                      <w:rFonts w:ascii="仿宋_GB2312" w:hAnsi="仿宋_GB2312" w:cs="仿宋_GB2312" w:eastAsia="仿宋_GB2312"/>
                    </w:rPr>
                    <w:t>急难险重事项预警</w:t>
                  </w:r>
                </w:p>
              </w:tc>
              <w:tc>
                <w:tcPr>
                  <w:tcW w:type="dxa" w:w="365"/>
                </w:tcPr>
                <w:p>
                  <w:pPr>
                    <w:pStyle w:val="null3"/>
                  </w:pPr>
                  <w:r>
                    <w:rPr>
                      <w:rFonts w:ascii="仿宋_GB2312" w:hAnsi="仿宋_GB2312" w:cs="仿宋_GB2312" w:eastAsia="仿宋_GB2312"/>
                    </w:rPr>
                    <w:t>紧急量监测预警</w:t>
                  </w:r>
                </w:p>
              </w:tc>
              <w:tc>
                <w:tcPr>
                  <w:tcW w:type="dxa" w:w="365"/>
                </w:tcPr>
                <w:p>
                  <w:pPr>
                    <w:pStyle w:val="null3"/>
                  </w:pPr>
                  <w:r>
                    <w:rPr>
                      <w:rFonts w:ascii="仿宋_GB2312" w:hAnsi="仿宋_GB2312" w:cs="仿宋_GB2312" w:eastAsia="仿宋_GB2312"/>
                    </w:rPr>
                    <w:t>支持展示紧急预警工单量及工单列表，支持所有列表数据下钻查看工单详细内容。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困难量监测预警</w:t>
                  </w:r>
                </w:p>
              </w:tc>
              <w:tc>
                <w:tcPr>
                  <w:tcW w:type="dxa" w:w="365"/>
                </w:tcPr>
                <w:p>
                  <w:pPr>
                    <w:pStyle w:val="null3"/>
                  </w:pPr>
                  <w:r>
                    <w:rPr>
                      <w:rFonts w:ascii="仿宋_GB2312" w:hAnsi="仿宋_GB2312" w:cs="仿宋_GB2312" w:eastAsia="仿宋_GB2312"/>
                    </w:rPr>
                    <w:t>支持展示困难预警工单量及工单列表，支持所有列表数据下钻查看工单详细内容。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39</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危险量监测预警</w:t>
                  </w:r>
                </w:p>
              </w:tc>
              <w:tc>
                <w:tcPr>
                  <w:tcW w:type="dxa" w:w="365"/>
                </w:tcPr>
                <w:p>
                  <w:pPr>
                    <w:pStyle w:val="null3"/>
                  </w:pPr>
                  <w:r>
                    <w:rPr>
                      <w:rFonts w:ascii="仿宋_GB2312" w:hAnsi="仿宋_GB2312" w:cs="仿宋_GB2312" w:eastAsia="仿宋_GB2312"/>
                    </w:rPr>
                    <w:t>支持展示危险预警工单量及工单列表，支持所有列表数据下钻查看工单详细内容。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40</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重要量监测预警</w:t>
                  </w:r>
                </w:p>
              </w:tc>
              <w:tc>
                <w:tcPr>
                  <w:tcW w:type="dxa" w:w="365"/>
                </w:tcPr>
                <w:p>
                  <w:pPr>
                    <w:pStyle w:val="null3"/>
                  </w:pPr>
                  <w:r>
                    <w:rPr>
                      <w:rFonts w:ascii="仿宋_GB2312" w:hAnsi="仿宋_GB2312" w:cs="仿宋_GB2312" w:eastAsia="仿宋_GB2312"/>
                    </w:rPr>
                    <w:t>支持展示重要预警工单量及工单列表，支持所有列表数据下钻查看工单详细内容。</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41</w:t>
                  </w:r>
                </w:p>
              </w:tc>
              <w:tc>
                <w:tcPr>
                  <w:tcW w:type="dxa" w:w="365"/>
                  <w:vMerge/>
                </w:tcPr>
                <w:p/>
              </w:tc>
              <w:tc>
                <w:tcPr>
                  <w:tcW w:type="dxa" w:w="365"/>
                  <w:vMerge w:val="restart"/>
                </w:tcPr>
                <w:p>
                  <w:pPr>
                    <w:pStyle w:val="null3"/>
                  </w:pPr>
                  <w:r>
                    <w:rPr>
                      <w:rFonts w:ascii="仿宋_GB2312" w:hAnsi="仿宋_GB2312" w:cs="仿宋_GB2312" w:eastAsia="仿宋_GB2312"/>
                    </w:rPr>
                    <w:t>群发（多人一诉）事项预警</w:t>
                  </w:r>
                </w:p>
              </w:tc>
              <w:tc>
                <w:tcPr>
                  <w:tcW w:type="dxa" w:w="365"/>
                </w:tcPr>
                <w:p>
                  <w:pPr>
                    <w:pStyle w:val="null3"/>
                  </w:pPr>
                  <w:r>
                    <w:rPr>
                      <w:rFonts w:ascii="仿宋_GB2312" w:hAnsi="仿宋_GB2312" w:cs="仿宋_GB2312" w:eastAsia="仿宋_GB2312"/>
                    </w:rPr>
                    <w:t>分级别预警</w:t>
                  </w:r>
                </w:p>
              </w:tc>
              <w:tc>
                <w:tcPr>
                  <w:tcW w:type="dxa" w:w="365"/>
                </w:tcPr>
                <w:p>
                  <w:pPr>
                    <w:pStyle w:val="null3"/>
                  </w:pPr>
                  <w:r>
                    <w:rPr>
                      <w:rFonts w:ascii="仿宋_GB2312" w:hAnsi="仿宋_GB2312" w:cs="仿宋_GB2312" w:eastAsia="仿宋_GB2312"/>
                    </w:rPr>
                    <w:t>按预警级别监测多人一诉事件诉求量列表，支持一件事多人预警；支持数据下钻分析。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42</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下钻分析</w:t>
                  </w:r>
                </w:p>
              </w:tc>
              <w:tc>
                <w:tcPr>
                  <w:tcW w:type="dxa" w:w="365"/>
                </w:tcPr>
                <w:p>
                  <w:pPr>
                    <w:pStyle w:val="null3"/>
                  </w:pPr>
                  <w:r>
                    <w:rPr>
                      <w:rFonts w:ascii="仿宋_GB2312" w:hAnsi="仿宋_GB2312" w:cs="仿宋_GB2312" w:eastAsia="仿宋_GB2312"/>
                    </w:rPr>
                    <w:t>选择数字下钻可查看预警事项总量、演化趋势分析及工单详细列表。</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43</w:t>
                  </w:r>
                </w:p>
              </w:tc>
              <w:tc>
                <w:tcPr>
                  <w:tcW w:type="dxa" w:w="365"/>
                  <w:vMerge/>
                </w:tcPr>
                <w:p/>
              </w:tc>
              <w:tc>
                <w:tcPr>
                  <w:tcW w:type="dxa" w:w="365"/>
                  <w:vMerge w:val="restart"/>
                </w:tcPr>
                <w:p>
                  <w:pPr>
                    <w:pStyle w:val="null3"/>
                  </w:pPr>
                  <w:r>
                    <w:rPr>
                      <w:rFonts w:ascii="仿宋_GB2312" w:hAnsi="仿宋_GB2312" w:cs="仿宋_GB2312" w:eastAsia="仿宋_GB2312"/>
                    </w:rPr>
                    <w:t>苗头事件预警</w:t>
                  </w:r>
                </w:p>
              </w:tc>
              <w:tc>
                <w:tcPr>
                  <w:tcW w:type="dxa" w:w="365"/>
                </w:tcPr>
                <w:p>
                  <w:pPr>
                    <w:pStyle w:val="null3"/>
                  </w:pPr>
                  <w:r>
                    <w:rPr>
                      <w:rFonts w:ascii="仿宋_GB2312" w:hAnsi="仿宋_GB2312" w:cs="仿宋_GB2312" w:eastAsia="仿宋_GB2312"/>
                    </w:rPr>
                    <w:t>分级别预警</w:t>
                  </w:r>
                </w:p>
              </w:tc>
              <w:tc>
                <w:tcPr>
                  <w:tcW w:type="dxa" w:w="365"/>
                </w:tcPr>
                <w:p>
                  <w:pPr>
                    <w:pStyle w:val="null3"/>
                  </w:pPr>
                  <w:r>
                    <w:rPr>
                      <w:rFonts w:ascii="仿宋_GB2312" w:hAnsi="仿宋_GB2312" w:cs="仿宋_GB2312" w:eastAsia="仿宋_GB2312"/>
                    </w:rPr>
                    <w:t>按预警级别监测苗头性事件、按工单诉求标签监测时间周期内诉求量较高的热点列表；支持数据下钻分析。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44</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下钻分析</w:t>
                  </w:r>
                </w:p>
              </w:tc>
              <w:tc>
                <w:tcPr>
                  <w:tcW w:type="dxa" w:w="365"/>
                </w:tcPr>
                <w:p>
                  <w:pPr>
                    <w:pStyle w:val="null3"/>
                  </w:pPr>
                  <w:r>
                    <w:rPr>
                      <w:rFonts w:ascii="仿宋_GB2312" w:hAnsi="仿宋_GB2312" w:cs="仿宋_GB2312" w:eastAsia="仿宋_GB2312"/>
                    </w:rPr>
                    <w:t>选择数字下钻可查看预警事项总量、演化趋势分析及工单详细列表。</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45</w:t>
                  </w:r>
                </w:p>
              </w:tc>
              <w:tc>
                <w:tcPr>
                  <w:tcW w:type="dxa" w:w="365"/>
                  <w:vMerge/>
                </w:tcPr>
                <w:p/>
              </w:tc>
              <w:tc>
                <w:tcPr>
                  <w:tcW w:type="dxa" w:w="365"/>
                </w:tcPr>
                <w:p>
                  <w:pPr>
                    <w:pStyle w:val="null3"/>
                  </w:pPr>
                  <w:r>
                    <w:rPr>
                      <w:rFonts w:ascii="仿宋_GB2312" w:hAnsi="仿宋_GB2312" w:cs="仿宋_GB2312" w:eastAsia="仿宋_GB2312"/>
                    </w:rPr>
                    <w:t>高频涉事主体预警</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按预警级别监测高频涉事主体预警信息，按高频涉事主体监测诉求量较高的主体列表，实现市场主体的高频事件预警；支持数据下钻分析。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46</w:t>
                  </w:r>
                </w:p>
              </w:tc>
              <w:tc>
                <w:tcPr>
                  <w:tcW w:type="dxa" w:w="365"/>
                  <w:vMerge/>
                </w:tcPr>
                <w:p/>
              </w:tc>
              <w:tc>
                <w:tcPr>
                  <w:tcW w:type="dxa" w:w="365"/>
                </w:tcPr>
                <w:p>
                  <w:pPr>
                    <w:pStyle w:val="null3"/>
                  </w:pPr>
                  <w:r>
                    <w:rPr>
                      <w:rFonts w:ascii="仿宋_GB2312" w:hAnsi="仿宋_GB2312" w:cs="仿宋_GB2312" w:eastAsia="仿宋_GB2312"/>
                    </w:rPr>
                    <w:t>重复来电预警</w:t>
                  </w:r>
                </w:p>
              </w:tc>
              <w:tc>
                <w:tcPr>
                  <w:tcW w:type="dxa" w:w="365"/>
                </w:tcPr>
                <w:p>
                  <w:pPr>
                    <w:pStyle w:val="null3"/>
                  </w:pPr>
                  <w:r>
                    <w:rPr>
                      <w:rFonts w:ascii="仿宋_GB2312" w:hAnsi="仿宋_GB2312" w:cs="仿宋_GB2312" w:eastAsia="仿宋_GB2312"/>
                    </w:rPr>
                    <w:t>/</w:t>
                  </w:r>
                </w:p>
              </w:tc>
              <w:tc>
                <w:tcPr>
                  <w:tcW w:type="dxa" w:w="365"/>
                </w:tcPr>
                <w:p>
                  <w:pPr>
                    <w:pStyle w:val="null3"/>
                  </w:pPr>
                  <w:r>
                    <w:rPr>
                      <w:rFonts w:ascii="仿宋_GB2312" w:hAnsi="仿宋_GB2312" w:cs="仿宋_GB2312" w:eastAsia="仿宋_GB2312"/>
                    </w:rPr>
                    <w:t>以市民电话号码为准，监测重复来电频次较高的市民列表，实时预警。</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47</w:t>
                  </w:r>
                </w:p>
              </w:tc>
              <w:tc>
                <w:tcPr>
                  <w:tcW w:type="dxa" w:w="365"/>
                  <w:vMerge/>
                </w:tcPr>
                <w:p/>
              </w:tc>
              <w:tc>
                <w:tcPr>
                  <w:tcW w:type="dxa" w:w="365"/>
                  <w:vMerge w:val="restart"/>
                </w:tcPr>
                <w:p>
                  <w:pPr>
                    <w:pStyle w:val="null3"/>
                  </w:pPr>
                  <w:r>
                    <w:rPr>
                      <w:rFonts w:ascii="仿宋_GB2312" w:hAnsi="仿宋_GB2312" w:cs="仿宋_GB2312" w:eastAsia="仿宋_GB2312"/>
                    </w:rPr>
                    <w:t>一人多次事项预警</w:t>
                  </w:r>
                </w:p>
              </w:tc>
              <w:tc>
                <w:tcPr>
                  <w:tcW w:type="dxa" w:w="365"/>
                </w:tcPr>
                <w:p>
                  <w:pPr>
                    <w:pStyle w:val="null3"/>
                  </w:pPr>
                  <w:r>
                    <w:rPr>
                      <w:rFonts w:ascii="仿宋_GB2312" w:hAnsi="仿宋_GB2312" w:cs="仿宋_GB2312" w:eastAsia="仿宋_GB2312"/>
                    </w:rPr>
                    <w:t>分级别预警</w:t>
                  </w:r>
                </w:p>
              </w:tc>
              <w:tc>
                <w:tcPr>
                  <w:tcW w:type="dxa" w:w="365"/>
                </w:tcPr>
                <w:p>
                  <w:pPr>
                    <w:pStyle w:val="null3"/>
                  </w:pPr>
                  <w:r>
                    <w:rPr>
                      <w:rFonts w:ascii="仿宋_GB2312" w:hAnsi="仿宋_GB2312" w:cs="仿宋_GB2312" w:eastAsia="仿宋_GB2312"/>
                    </w:rPr>
                    <w:t>按预警级别监测一人多次事项列表，支持一件事多次预警诉求量及预警时间,数据下钻分析。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48</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下钻分析</w:t>
                  </w:r>
                </w:p>
              </w:tc>
              <w:tc>
                <w:tcPr>
                  <w:tcW w:type="dxa" w:w="365"/>
                </w:tcPr>
                <w:p>
                  <w:pPr>
                    <w:pStyle w:val="null3"/>
                  </w:pPr>
                  <w:r>
                    <w:rPr>
                      <w:rFonts w:ascii="仿宋_GB2312" w:hAnsi="仿宋_GB2312" w:cs="仿宋_GB2312" w:eastAsia="仿宋_GB2312"/>
                    </w:rPr>
                    <w:t>选择数字下钻可查看预警事项总量、演化趋势分析及工单详细列表。</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49</w:t>
                  </w:r>
                </w:p>
              </w:tc>
              <w:tc>
                <w:tcPr>
                  <w:tcW w:type="dxa" w:w="365"/>
                  <w:vMerge/>
                </w:tcPr>
                <w:p/>
              </w:tc>
              <w:tc>
                <w:tcPr>
                  <w:tcW w:type="dxa" w:w="365"/>
                  <w:vMerge w:val="restart"/>
                </w:tcPr>
                <w:p>
                  <w:pPr>
                    <w:pStyle w:val="null3"/>
                  </w:pPr>
                  <w:r>
                    <w:rPr>
                      <w:rFonts w:ascii="仿宋_GB2312" w:hAnsi="仿宋_GB2312" w:cs="仿宋_GB2312" w:eastAsia="仿宋_GB2312"/>
                    </w:rPr>
                    <w:t>集中区域监测预警</w:t>
                  </w:r>
                </w:p>
              </w:tc>
              <w:tc>
                <w:tcPr>
                  <w:tcW w:type="dxa" w:w="365"/>
                  <w:vMerge w:val="restart"/>
                </w:tcPr>
                <w:p>
                  <w:pPr>
                    <w:pStyle w:val="null3"/>
                  </w:pPr>
                  <w:r>
                    <w:rPr>
                      <w:rFonts w:ascii="仿宋_GB2312" w:hAnsi="仿宋_GB2312" w:cs="仿宋_GB2312" w:eastAsia="仿宋_GB2312"/>
                    </w:rPr>
                    <w:t>分级别预警</w:t>
                  </w:r>
                </w:p>
              </w:tc>
              <w:tc>
                <w:tcPr>
                  <w:tcW w:type="dxa" w:w="365"/>
                </w:tcPr>
                <w:p>
                  <w:pPr>
                    <w:pStyle w:val="null3"/>
                  </w:pPr>
                  <w:r>
                    <w:rPr>
                      <w:rFonts w:ascii="仿宋_GB2312" w:hAnsi="仿宋_GB2312" w:cs="仿宋_GB2312" w:eastAsia="仿宋_GB2312"/>
                    </w:rPr>
                    <w:t>支持按照所选时间段及领域的集中区域事项监测分析。</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50</w:t>
                  </w:r>
                </w:p>
              </w:tc>
              <w:tc>
                <w:tcPr>
                  <w:tcW w:type="dxa" w:w="365"/>
                  <w:vMerge/>
                </w:tcP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支持集中区域事项top5排名诉求量及预警时间。</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r>
              <w:tc>
                <w:tcPr>
                  <w:tcW w:type="dxa" w:w="365"/>
                </w:tcPr>
                <w:p>
                  <w:pPr>
                    <w:pStyle w:val="null3"/>
                  </w:pPr>
                  <w:r>
                    <w:rPr>
                      <w:rFonts w:ascii="仿宋_GB2312" w:hAnsi="仿宋_GB2312" w:cs="仿宋_GB2312" w:eastAsia="仿宋_GB2312"/>
                    </w:rPr>
                    <w:t>51</w:t>
                  </w:r>
                </w:p>
              </w:tc>
              <w:tc>
                <w:tcPr>
                  <w:tcW w:type="dxa" w:w="365"/>
                  <w:vMerge/>
                </w:tcPr>
                <w:p/>
              </w:tc>
              <w:tc>
                <w:tcPr>
                  <w:tcW w:type="dxa" w:w="365"/>
                  <w:vMerge/>
                </w:tcPr>
                <w:p/>
              </w:tc>
              <w:tc>
                <w:tcPr>
                  <w:tcW w:type="dxa" w:w="365"/>
                </w:tcPr>
                <w:p>
                  <w:pPr>
                    <w:pStyle w:val="null3"/>
                  </w:pPr>
                  <w:r>
                    <w:rPr>
                      <w:rFonts w:ascii="仿宋_GB2312" w:hAnsi="仿宋_GB2312" w:cs="仿宋_GB2312" w:eastAsia="仿宋_GB2312"/>
                    </w:rPr>
                    <w:t>下钻分析</w:t>
                  </w:r>
                </w:p>
              </w:tc>
              <w:tc>
                <w:tcPr>
                  <w:tcW w:type="dxa" w:w="365"/>
                </w:tcPr>
                <w:p>
                  <w:pPr>
                    <w:pStyle w:val="null3"/>
                  </w:pPr>
                  <w:r>
                    <w:rPr>
                      <w:rFonts w:ascii="仿宋_GB2312" w:hAnsi="仿宋_GB2312" w:cs="仿宋_GB2312" w:eastAsia="仿宋_GB2312"/>
                    </w:rPr>
                    <w:t>支持集中区域事项下钻分析街镇排名top5、具体详址排名top5。</w:t>
                  </w:r>
                </w:p>
              </w:tc>
              <w:tc>
                <w:tcPr>
                  <w:tcW w:type="dxa" w:w="365"/>
                </w:tcPr>
                <w:p>
                  <w:pPr>
                    <w:pStyle w:val="null3"/>
                  </w:pPr>
                  <w:r>
                    <w:rPr>
                      <w:rFonts w:ascii="仿宋_GB2312" w:hAnsi="仿宋_GB2312" w:cs="仿宋_GB2312" w:eastAsia="仿宋_GB2312"/>
                    </w:rPr>
                    <w:t>项</w:t>
                  </w:r>
                </w:p>
              </w:tc>
              <w:tc>
                <w:tcPr>
                  <w:tcW w:type="dxa" w:w="365"/>
                </w:tcPr>
                <w:p>
                  <w:pPr>
                    <w:pStyle w:val="null3"/>
                  </w:pPr>
                  <w:r>
                    <w:rPr>
                      <w:rFonts w:ascii="仿宋_GB2312" w:hAnsi="仿宋_GB2312" w:cs="仿宋_GB2312" w:eastAsia="仿宋_GB2312"/>
                    </w:rPr>
                    <w:t>1</w:t>
                  </w:r>
                </w:p>
              </w:tc>
            </w:tr>
          </w:tbl>
          <w:p>
            <w:pPr>
              <w:pStyle w:val="null3"/>
              <w:outlineLvl w:val="3"/>
            </w:pPr>
            <w:r>
              <w:rPr>
                <w:rFonts w:ascii="仿宋_GB2312" w:hAnsi="仿宋_GB2312" w:cs="仿宋_GB2312" w:eastAsia="仿宋_GB2312"/>
                <w:sz w:val="24"/>
                <w:b/>
              </w:rPr>
              <w:t>1.3.3.8.数据报告生成</w:t>
            </w:r>
          </w:p>
          <w:p>
            <w:pPr>
              <w:pStyle w:val="null3"/>
            </w:pPr>
            <w:r>
              <w:rPr>
                <w:rFonts w:ascii="仿宋_GB2312" w:hAnsi="仿宋_GB2312" w:cs="仿宋_GB2312" w:eastAsia="仿宋_GB2312"/>
              </w:rPr>
              <w:t>系统提供数据报告大模型生成应用，可根据业务需要定制智能报告的数据变量和报告模板，生成的报告支持预览、审稿、打印、替换、丢弃、重新生成等功能，报告可以导出成pdf和word版本。</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rPr>
                    <w:t>序号</w:t>
                  </w:r>
                </w:p>
              </w:tc>
              <w:tc>
                <w:tcPr>
                  <w:tcW w:type="dxa" w:w="426"/>
                </w:tcPr>
                <w:p>
                  <w:pPr>
                    <w:pStyle w:val="null3"/>
                  </w:pPr>
                  <w:r>
                    <w:rPr>
                      <w:rFonts w:ascii="仿宋_GB2312" w:hAnsi="仿宋_GB2312" w:cs="仿宋_GB2312" w:eastAsia="仿宋_GB2312"/>
                    </w:rPr>
                    <w:t>一级功能</w:t>
                  </w:r>
                </w:p>
              </w:tc>
              <w:tc>
                <w:tcPr>
                  <w:tcW w:type="dxa" w:w="426"/>
                </w:tcPr>
                <w:p>
                  <w:pPr>
                    <w:pStyle w:val="null3"/>
                  </w:pPr>
                  <w:r>
                    <w:rPr>
                      <w:rFonts w:ascii="仿宋_GB2312" w:hAnsi="仿宋_GB2312" w:cs="仿宋_GB2312" w:eastAsia="仿宋_GB2312"/>
                    </w:rPr>
                    <w:t>二级功能</w:t>
                  </w:r>
                </w:p>
              </w:tc>
              <w:tc>
                <w:tcPr>
                  <w:tcW w:type="dxa" w:w="426"/>
                </w:tcPr>
                <w:p>
                  <w:pPr>
                    <w:pStyle w:val="null3"/>
                  </w:pPr>
                  <w:r>
                    <w:rPr>
                      <w:rFonts w:ascii="仿宋_GB2312" w:hAnsi="仿宋_GB2312" w:cs="仿宋_GB2312" w:eastAsia="仿宋_GB2312"/>
                    </w:rPr>
                    <w:t>三级功能</w:t>
                  </w:r>
                </w:p>
              </w:tc>
              <w:tc>
                <w:tcPr>
                  <w:tcW w:type="dxa" w:w="426"/>
                </w:tcPr>
                <w:p>
                  <w:pPr>
                    <w:pStyle w:val="null3"/>
                  </w:pPr>
                  <w:r>
                    <w:rPr>
                      <w:rFonts w:ascii="仿宋_GB2312" w:hAnsi="仿宋_GB2312" w:cs="仿宋_GB2312" w:eastAsia="仿宋_GB2312"/>
                    </w:rPr>
                    <w:t>单位</w:t>
                  </w:r>
                </w:p>
              </w:tc>
              <w:tc>
                <w:tcPr>
                  <w:tcW w:type="dxa" w:w="426"/>
                </w:tcPr>
                <w:p>
                  <w:pPr>
                    <w:pStyle w:val="null3"/>
                  </w:pPr>
                  <w:r>
                    <w:rPr>
                      <w:rFonts w:ascii="仿宋_GB2312" w:hAnsi="仿宋_GB2312" w:cs="仿宋_GB2312" w:eastAsia="仿宋_GB2312"/>
                    </w:rPr>
                    <w:t>数量</w:t>
                  </w:r>
                </w:p>
              </w:tc>
            </w:tr>
            <w:tr>
              <w:tc>
                <w:tcPr>
                  <w:tcW w:type="dxa" w:w="426"/>
                </w:tcPr>
                <w:p>
                  <w:pPr>
                    <w:pStyle w:val="null3"/>
                  </w:pPr>
                  <w:r>
                    <w:rPr>
                      <w:rFonts w:ascii="仿宋_GB2312" w:hAnsi="仿宋_GB2312" w:cs="仿宋_GB2312" w:eastAsia="仿宋_GB2312"/>
                    </w:rPr>
                    <w:t>1</w:t>
                  </w:r>
                </w:p>
              </w:tc>
              <w:tc>
                <w:tcPr>
                  <w:tcW w:type="dxa" w:w="426"/>
                  <w:vMerge w:val="restart"/>
                </w:tcPr>
                <w:p>
                  <w:pPr>
                    <w:pStyle w:val="null3"/>
                  </w:pPr>
                  <w:r>
                    <w:rPr>
                      <w:rFonts w:ascii="仿宋_GB2312" w:hAnsi="仿宋_GB2312" w:cs="仿宋_GB2312" w:eastAsia="仿宋_GB2312"/>
                    </w:rPr>
                    <w:t>数据报告生成</w:t>
                  </w:r>
                </w:p>
              </w:tc>
              <w:tc>
                <w:tcPr>
                  <w:tcW w:type="dxa" w:w="426"/>
                  <w:vMerge w:val="restart"/>
                </w:tcPr>
                <w:p>
                  <w:pPr>
                    <w:pStyle w:val="null3"/>
                  </w:pPr>
                  <w:r>
                    <w:rPr>
                      <w:rFonts w:ascii="仿宋_GB2312" w:hAnsi="仿宋_GB2312" w:cs="仿宋_GB2312" w:eastAsia="仿宋_GB2312"/>
                    </w:rPr>
                    <w:t>数据变量</w:t>
                  </w:r>
                </w:p>
              </w:tc>
              <w:tc>
                <w:tcPr>
                  <w:tcW w:type="dxa" w:w="426"/>
                </w:tcPr>
                <w:p>
                  <w:pPr>
                    <w:pStyle w:val="null3"/>
                  </w:pPr>
                  <w:r>
                    <w:rPr>
                      <w:rFonts w:ascii="仿宋_GB2312" w:hAnsi="仿宋_GB2312" w:cs="仿宋_GB2312" w:eastAsia="仿宋_GB2312"/>
                    </w:rPr>
                    <w:t>呼叫变量</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工单变量</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基础变量</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4</w:t>
                  </w:r>
                </w:p>
              </w:tc>
              <w:tc>
                <w:tcPr>
                  <w:tcW w:type="dxa" w:w="426"/>
                  <w:vMerge/>
                </w:tcPr>
                <w:p/>
              </w:tc>
              <w:tc>
                <w:tcPr>
                  <w:tcW w:type="dxa" w:w="426"/>
                  <w:vMerge w:val="restart"/>
                </w:tcPr>
                <w:p>
                  <w:pPr>
                    <w:pStyle w:val="null3"/>
                  </w:pPr>
                  <w:r>
                    <w:rPr>
                      <w:rFonts w:ascii="仿宋_GB2312" w:hAnsi="仿宋_GB2312" w:cs="仿宋_GB2312" w:eastAsia="仿宋_GB2312"/>
                    </w:rPr>
                    <w:t>模板管理</w:t>
                  </w:r>
                </w:p>
              </w:tc>
              <w:tc>
                <w:tcPr>
                  <w:tcW w:type="dxa" w:w="426"/>
                </w:tcPr>
                <w:p>
                  <w:pPr>
                    <w:pStyle w:val="null3"/>
                  </w:pPr>
                  <w:r>
                    <w:rPr>
                      <w:rFonts w:ascii="仿宋_GB2312" w:hAnsi="仿宋_GB2312" w:cs="仿宋_GB2312" w:eastAsia="仿宋_GB2312"/>
                    </w:rPr>
                    <w:t>模板类型</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5</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报告示例</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6</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模板导入/导出</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7</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模板查看/编辑/删除</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8</w:t>
                  </w:r>
                </w:p>
              </w:tc>
              <w:tc>
                <w:tcPr>
                  <w:tcW w:type="dxa" w:w="426"/>
                  <w:vMerge/>
                </w:tcPr>
                <w:p/>
              </w:tc>
              <w:tc>
                <w:tcPr>
                  <w:tcW w:type="dxa" w:w="426"/>
                  <w:vMerge w:val="restart"/>
                </w:tcPr>
                <w:p>
                  <w:pPr>
                    <w:pStyle w:val="null3"/>
                  </w:pPr>
                  <w:r>
                    <w:rPr>
                      <w:rFonts w:ascii="仿宋_GB2312" w:hAnsi="仿宋_GB2312" w:cs="仿宋_GB2312" w:eastAsia="仿宋_GB2312"/>
                    </w:rPr>
                    <w:t>报告生成</w:t>
                  </w:r>
                </w:p>
              </w:tc>
              <w:tc>
                <w:tcPr>
                  <w:tcW w:type="dxa" w:w="426"/>
                </w:tcPr>
                <w:p>
                  <w:pPr>
                    <w:pStyle w:val="null3"/>
                  </w:pPr>
                  <w:r>
                    <w:rPr>
                      <w:rFonts w:ascii="仿宋_GB2312" w:hAnsi="仿宋_GB2312" w:cs="仿宋_GB2312" w:eastAsia="仿宋_GB2312"/>
                    </w:rPr>
                    <w:t>按选择的时间周期和模板自动生成报告变量数据内容</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9</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根据模型理解自动生成报告分析内容</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10</w:t>
                  </w:r>
                </w:p>
              </w:tc>
              <w:tc>
                <w:tcPr>
                  <w:tcW w:type="dxa" w:w="426"/>
                  <w:vMerge/>
                </w:tcPr>
                <w:p/>
              </w:tc>
              <w:tc>
                <w:tcPr>
                  <w:tcW w:type="dxa" w:w="426"/>
                  <w:vMerge w:val="restart"/>
                </w:tcPr>
                <w:p>
                  <w:pPr>
                    <w:pStyle w:val="null3"/>
                  </w:pPr>
                  <w:r>
                    <w:rPr>
                      <w:rFonts w:ascii="仿宋_GB2312" w:hAnsi="仿宋_GB2312" w:cs="仿宋_GB2312" w:eastAsia="仿宋_GB2312"/>
                    </w:rPr>
                    <w:t>报告管理</w:t>
                  </w:r>
                </w:p>
              </w:tc>
              <w:tc>
                <w:tcPr>
                  <w:tcW w:type="dxa" w:w="426"/>
                </w:tcPr>
                <w:p>
                  <w:pPr>
                    <w:pStyle w:val="null3"/>
                  </w:pPr>
                  <w:r>
                    <w:rPr>
                      <w:rFonts w:ascii="仿宋_GB2312" w:hAnsi="仿宋_GB2312" w:cs="仿宋_GB2312" w:eastAsia="仿宋_GB2312"/>
                    </w:rPr>
                    <w:t>报告新建/查看/删除</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11</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报告导出pdf/docx</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12</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审稿-重新基于模板生成</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r>
              <w:tc>
                <w:tcPr>
                  <w:tcW w:type="dxa" w:w="426"/>
                </w:tcPr>
                <w:p>
                  <w:pPr>
                    <w:pStyle w:val="null3"/>
                  </w:pPr>
                  <w:r>
                    <w:rPr>
                      <w:rFonts w:ascii="仿宋_GB2312" w:hAnsi="仿宋_GB2312" w:cs="仿宋_GB2312" w:eastAsia="仿宋_GB2312"/>
                    </w:rPr>
                    <w:t>13</w:t>
                  </w:r>
                </w:p>
              </w:tc>
              <w:tc>
                <w:tcPr>
                  <w:tcW w:type="dxa" w:w="426"/>
                  <w:vMerge/>
                </w:tcPr>
                <w:p/>
              </w:tc>
              <w:tc>
                <w:tcPr>
                  <w:tcW w:type="dxa" w:w="426"/>
                  <w:vMerge/>
                </w:tcPr>
                <w:p/>
              </w:tc>
              <w:tc>
                <w:tcPr>
                  <w:tcW w:type="dxa" w:w="426"/>
                </w:tcPr>
                <w:p>
                  <w:pPr>
                    <w:pStyle w:val="null3"/>
                  </w:pPr>
                  <w:r>
                    <w:rPr>
                      <w:rFonts w:ascii="仿宋_GB2312" w:hAnsi="仿宋_GB2312" w:cs="仿宋_GB2312" w:eastAsia="仿宋_GB2312"/>
                    </w:rPr>
                    <w:t>审稿-存为草稿/终稿</w:t>
                  </w:r>
                </w:p>
              </w:tc>
              <w:tc>
                <w:tcPr>
                  <w:tcW w:type="dxa" w:w="426"/>
                </w:tcPr>
                <w:p>
                  <w:pPr>
                    <w:pStyle w:val="null3"/>
                  </w:pPr>
                  <w:r>
                    <w:rPr>
                      <w:rFonts w:ascii="仿宋_GB2312" w:hAnsi="仿宋_GB2312" w:cs="仿宋_GB2312" w:eastAsia="仿宋_GB2312"/>
                    </w:rPr>
                    <w:t>项</w:t>
                  </w:r>
                </w:p>
              </w:tc>
              <w:tc>
                <w:tcPr>
                  <w:tcW w:type="dxa" w:w="426"/>
                </w:tcPr>
                <w:p>
                  <w:pPr>
                    <w:pStyle w:val="null3"/>
                  </w:pPr>
                  <w:r>
                    <w:rPr>
                      <w:rFonts w:ascii="仿宋_GB2312" w:hAnsi="仿宋_GB2312" w:cs="仿宋_GB2312" w:eastAsia="仿宋_GB2312"/>
                    </w:rPr>
                    <w:t>1</w:t>
                  </w:r>
                </w:p>
              </w:tc>
            </w:tr>
          </w:tbl>
          <w:p>
            <w:pPr>
              <w:pStyle w:val="null3"/>
              <w:outlineLvl w:val="2"/>
            </w:pPr>
            <w:r>
              <w:rPr>
                <w:rFonts w:ascii="仿宋_GB2312" w:hAnsi="仿宋_GB2312" w:cs="仿宋_GB2312" w:eastAsia="仿宋_GB2312"/>
                <w:sz w:val="28"/>
                <w:b/>
              </w:rPr>
              <w:t>1.3.4.其他要求</w:t>
            </w:r>
          </w:p>
          <w:p>
            <w:pPr>
              <w:pStyle w:val="null3"/>
              <w:outlineLvl w:val="3"/>
            </w:pPr>
            <w:r>
              <w:rPr>
                <w:rFonts w:ascii="仿宋_GB2312" w:hAnsi="仿宋_GB2312" w:cs="仿宋_GB2312" w:eastAsia="仿宋_GB2312"/>
                <w:sz w:val="24"/>
                <w:b/>
              </w:rPr>
              <w:t>1.3.4.1.国产化适配</w:t>
            </w:r>
          </w:p>
          <w:p>
            <w:pPr>
              <w:pStyle w:val="null3"/>
            </w:pPr>
            <w:r>
              <w:rPr>
                <w:rFonts w:ascii="仿宋_GB2312" w:hAnsi="仿宋_GB2312" w:cs="仿宋_GB2312" w:eastAsia="仿宋_GB2312"/>
              </w:rPr>
              <w:t>本次建设的所有系统需支持国产化适配，完成与国产化终端、国产化服务器、中间件、数据库、操作系统、浏览器的国产化适配工作，适配国密算法，主要包括登录认证、数据存储加解密、请求响应加解密、API接口等诸多方面。</w:t>
            </w:r>
          </w:p>
          <w:p>
            <w:pPr>
              <w:pStyle w:val="null3"/>
              <w:outlineLvl w:val="3"/>
            </w:pPr>
            <w:r>
              <w:rPr>
                <w:rFonts w:ascii="仿宋_GB2312" w:hAnsi="仿宋_GB2312" w:cs="仿宋_GB2312" w:eastAsia="仿宋_GB2312"/>
                <w:sz w:val="24"/>
                <w:b/>
              </w:rPr>
              <w:t>1.3.4.2.AI离线引擎</w:t>
            </w:r>
          </w:p>
          <w:p>
            <w:pPr>
              <w:pStyle w:val="null3"/>
            </w:pPr>
            <w:r>
              <w:rPr>
                <w:rFonts w:ascii="仿宋_GB2312" w:hAnsi="仿宋_GB2312" w:cs="仿宋_GB2312" w:eastAsia="仿宋_GB2312"/>
              </w:rPr>
              <w:t>本次建设需要提供AI离线引擎，部署在政务外网环境下应用，30个ASR语音识别并发应用，30个TTS语音合成并发应用。</w:t>
            </w:r>
          </w:p>
          <w:p>
            <w:pPr>
              <w:pStyle w:val="null3"/>
              <w:outlineLvl w:val="3"/>
            </w:pPr>
            <w:r>
              <w:rPr>
                <w:rFonts w:ascii="仿宋_GB2312" w:hAnsi="仿宋_GB2312" w:cs="仿宋_GB2312" w:eastAsia="仿宋_GB2312"/>
                <w:sz w:val="24"/>
                <w:b/>
              </w:rPr>
              <w:t>1.3.4.3.工单系统UI设计</w:t>
            </w:r>
          </w:p>
          <w:p>
            <w:pPr>
              <w:pStyle w:val="null3"/>
              <w:outlineLvl w:val="4"/>
            </w:pPr>
            <w:r>
              <w:rPr>
                <w:rFonts w:ascii="仿宋_GB2312" w:hAnsi="仿宋_GB2312" w:cs="仿宋_GB2312" w:eastAsia="仿宋_GB2312"/>
                <w:sz w:val="20"/>
                <w:b/>
              </w:rPr>
              <w:t>1.3.4.3.1.设计范围</w:t>
            </w:r>
          </w:p>
          <w:p>
            <w:pPr>
              <w:pStyle w:val="null3"/>
            </w:pPr>
            <w:r>
              <w:rPr>
                <w:rFonts w:ascii="仿宋_GB2312" w:hAnsi="仿宋_GB2312" w:cs="仿宋_GB2312" w:eastAsia="仿宋_GB2312"/>
              </w:rPr>
              <w:t>以界面原型的方式提供工单业务系统的受理、直通联办、质检、市直和区县调度及数据分析、数据预警功能界面，并完成全量要素切图。</w:t>
            </w:r>
          </w:p>
          <w:p>
            <w:pPr>
              <w:pStyle w:val="null3"/>
              <w:outlineLvl w:val="4"/>
            </w:pPr>
            <w:r>
              <w:rPr>
                <w:rFonts w:ascii="仿宋_GB2312" w:hAnsi="仿宋_GB2312" w:cs="仿宋_GB2312" w:eastAsia="仿宋_GB2312"/>
                <w:sz w:val="20"/>
                <w:b/>
              </w:rPr>
              <w:t>1.3.4.3.2.设计原则</w:t>
            </w:r>
          </w:p>
          <w:p>
            <w:pPr>
              <w:pStyle w:val="null3"/>
            </w:pPr>
            <w:r>
              <w:rPr>
                <w:rFonts w:ascii="仿宋_GB2312" w:hAnsi="仿宋_GB2312" w:cs="仿宋_GB2312" w:eastAsia="仿宋_GB2312"/>
              </w:rPr>
              <w:t>（1）政务属性统领原则</w:t>
            </w:r>
          </w:p>
          <w:p>
            <w:pPr>
              <w:pStyle w:val="null3"/>
            </w:pPr>
            <w:r>
              <w:rPr>
                <w:rFonts w:ascii="仿宋_GB2312" w:hAnsi="仿宋_GB2312" w:cs="仿宋_GB2312" w:eastAsia="仿宋_GB2312"/>
              </w:rPr>
              <w:t>以“庄重、严谨、规范”为核心调性，所有设计元素需服务于政务场景的严肃性。杜绝卡通化、娱乐化视觉符号，避免过度装饰或动态效果，确保界面风格与政府行政办公的正式属性高度匹配。整体视觉保持统一稳定，从色彩、字体到组件样式，形成贯穿全系统的一致性识别特征，强化用户对政务系统的专业认知。</w:t>
            </w:r>
          </w:p>
          <w:p>
            <w:pPr>
              <w:pStyle w:val="null3"/>
            </w:pPr>
            <w:r>
              <w:rPr>
                <w:rFonts w:ascii="仿宋_GB2312" w:hAnsi="仿宋_GB2312" w:cs="仿宋_GB2312" w:eastAsia="仿宋_GB2312"/>
              </w:rPr>
              <w:t>（2）功能优先极简原则</w:t>
            </w:r>
          </w:p>
          <w:p>
            <w:pPr>
              <w:pStyle w:val="null3"/>
            </w:pPr>
            <w:r>
              <w:rPr>
                <w:rFonts w:ascii="仿宋_GB2312" w:hAnsi="仿宋_GB2312" w:cs="仿宋_GB2312" w:eastAsia="仿宋_GB2312"/>
              </w:rPr>
              <w:t>以业务办理效率为首要目标，设计需“去冗余、留核心”。界面布局聚焦核心功能（如受理、处置、审核、待办），确保用户3步内可触达高频操作；非必要信息（如装饰性图片、冗余说明）进行隐藏或者删减，避免干扰用户决策。功能模块划分清晰，减少用户理解成本，让不同层级的政务人员（含基层工作人员）都能快速上手。</w:t>
            </w:r>
          </w:p>
          <w:p>
            <w:pPr>
              <w:pStyle w:val="null3"/>
            </w:pPr>
            <w:r>
              <w:rPr>
                <w:rFonts w:ascii="仿宋_GB2312" w:hAnsi="仿宋_GB2312" w:cs="仿宋_GB2312" w:eastAsia="仿宋_GB2312"/>
              </w:rPr>
              <w:t>（3）安全合规底线原则</w:t>
            </w:r>
          </w:p>
          <w:p>
            <w:pPr>
              <w:pStyle w:val="null3"/>
            </w:pPr>
            <w:r>
              <w:rPr>
                <w:rFonts w:ascii="仿宋_GB2312" w:hAnsi="仿宋_GB2312" w:cs="仿宋_GB2312" w:eastAsia="仿宋_GB2312"/>
              </w:rPr>
              <w:t>将信息安全与合规性嵌入设计全流程：</w:t>
            </w:r>
          </w:p>
          <w:p>
            <w:pPr>
              <w:pStyle w:val="null3"/>
            </w:pPr>
            <w:r>
              <w:rPr>
                <w:rFonts w:ascii="仿宋_GB2312" w:hAnsi="仿宋_GB2312" w:cs="仿宋_GB2312" w:eastAsia="仿宋_GB2312"/>
              </w:rPr>
              <w:t>敏感数据（如个人信息、涉密文件）必须脱敏展示；</w:t>
            </w:r>
          </w:p>
          <w:p>
            <w:pPr>
              <w:pStyle w:val="null3"/>
            </w:pPr>
            <w:r>
              <w:rPr>
                <w:rFonts w:ascii="仿宋_GB2312" w:hAnsi="仿宋_GB2312" w:cs="仿宋_GB2312" w:eastAsia="仿宋_GB2312"/>
              </w:rPr>
              <w:t>严格遵循权限分级逻辑，未授权功能直接隐藏入口，避免权限泄露风险。</w:t>
            </w:r>
          </w:p>
          <w:p>
            <w:pPr>
              <w:pStyle w:val="null3"/>
              <w:outlineLvl w:val="3"/>
            </w:pPr>
            <w:r>
              <w:rPr>
                <w:rFonts w:ascii="仿宋_GB2312" w:hAnsi="仿宋_GB2312" w:cs="仿宋_GB2312" w:eastAsia="仿宋_GB2312"/>
                <w:sz w:val="24"/>
                <w:b/>
              </w:rPr>
              <w:t>1.3.4.4.数据及系统安全</w:t>
            </w:r>
          </w:p>
          <w:p>
            <w:pPr>
              <w:pStyle w:val="null3"/>
            </w:pPr>
            <w:r>
              <w:rPr>
                <w:rFonts w:ascii="仿宋_GB2312" w:hAnsi="仿宋_GB2312" w:cs="仿宋_GB2312" w:eastAsia="仿宋_GB2312"/>
              </w:rPr>
              <w:t>本次系统依据《国家信息安全等级保护测评标准》，按照三级信息安全系统等级保护工作进行部署，以提升系统和数据抗风险的能力，提高数据安全性和保障应用系统的稳定性和连续性。</w:t>
            </w:r>
          </w:p>
          <w:p>
            <w:pPr>
              <w:pStyle w:val="null3"/>
            </w:pPr>
            <w:r>
              <w:rPr>
                <w:rFonts w:ascii="仿宋_GB2312" w:hAnsi="仿宋_GB2312" w:cs="仿宋_GB2312" w:eastAsia="仿宋_GB2312"/>
              </w:rPr>
              <w:t>为保障数据服务的安全性、可靠性、稳定性和连续性，对数据所涉及的支撑能力和安全防护能力的监控、告警、研判和处置，形成闭环管理机制，不断提升数据服务的安全防护能力和服务质量。同时根据数据服务运行的特性，制定应急高可用方案，减少断流、断服风险和缩短断流、断服时间，规避数据安全风险事件发生，提高数据服务使用方的满意度。</w:t>
            </w:r>
          </w:p>
          <w:p>
            <w:pPr>
              <w:pStyle w:val="null3"/>
            </w:pPr>
            <w:r>
              <w:rPr>
                <w:rFonts w:ascii="仿宋_GB2312" w:hAnsi="仿宋_GB2312" w:cs="仿宋_GB2312" w:eastAsia="仿宋_GB2312"/>
              </w:rPr>
              <w:t>根据本项目服务的具体要求，所涉及服务的连续性、可靠性和安全性产生的告警、事件（工单）、问题（故障）、风险隐患等进行及时响应和闭环处置。针对数据安全要求如下：</w:t>
            </w:r>
          </w:p>
          <w:p>
            <w:pPr>
              <w:pStyle w:val="null3"/>
            </w:pPr>
            <w:r>
              <w:rPr>
                <w:rFonts w:ascii="仿宋_GB2312" w:hAnsi="仿宋_GB2312" w:cs="仿宋_GB2312" w:eastAsia="仿宋_GB2312"/>
              </w:rPr>
              <w:t>访问控制与权限最小化要求：必须根据用户的“最小权限原则”授予数据访问权限。用户只能访问其完成工作职责所必需的数据和系统功能。</w:t>
            </w:r>
          </w:p>
          <w:p>
            <w:pPr>
              <w:pStyle w:val="null3"/>
            </w:pPr>
            <w:r>
              <w:rPr>
                <w:rFonts w:ascii="仿宋_GB2312" w:hAnsi="仿宋_GB2312" w:cs="仿宋_GB2312" w:eastAsia="仿宋_GB2312"/>
              </w:rPr>
              <w:t>数据加密要求：所有敏感数据（如群众身份信息、录音数据、工单数据）在静态存储（数据库、硬盘、备份磁带）和动态传输（网络传输、API调用）过程中必须使用国密标准的强加密算法进行加密。</w:t>
            </w:r>
          </w:p>
          <w:p>
            <w:pPr>
              <w:pStyle w:val="null3"/>
            </w:pPr>
            <w:r>
              <w:rPr>
                <w:rFonts w:ascii="仿宋_GB2312" w:hAnsi="仿宋_GB2312" w:cs="仿宋_GB2312" w:eastAsia="仿宋_GB2312"/>
              </w:rPr>
              <w:t>强身份认证与访问管理要求：所有访问包含敏感数据或关键系统的账户必须启用多因素认证。禁止共享用户账户和密码。</w:t>
            </w:r>
          </w:p>
          <w:p>
            <w:pPr>
              <w:pStyle w:val="null3"/>
            </w:pPr>
            <w:r>
              <w:rPr>
                <w:rFonts w:ascii="仿宋_GB2312" w:hAnsi="仿宋_GB2312" w:cs="仿宋_GB2312" w:eastAsia="仿宋_GB2312"/>
              </w:rPr>
              <w:t>安全审计日志与监控要求：对所有关键系统和数据库的操作（特别是对敏感数据的访问、创建、修改、删除）启用详细的安全审计日志功能。日志必须包含操作者、时间、操作内容、源IP地址等信息，并集中存储和保护，防止篡改和删除。必须定期审查异常活动日志。</w:t>
            </w:r>
          </w:p>
          <w:p>
            <w:pPr>
              <w:pStyle w:val="null3"/>
            </w:pPr>
            <w:r>
              <w:rPr>
                <w:rFonts w:ascii="仿宋_GB2312" w:hAnsi="仿宋_GB2312" w:cs="仿宋_GB2312" w:eastAsia="仿宋_GB2312"/>
              </w:rPr>
              <w:t>数据备份与可恢复性要求：必须定期备份关键业务数据和系统配置。备份数据需进行加密和存储，并定期验证备份数据的完整性和可恢复性。需制定并测试数据恢复计划。</w:t>
            </w:r>
          </w:p>
          <w:p>
            <w:pPr>
              <w:pStyle w:val="null3"/>
            </w:pPr>
            <w:r>
              <w:rPr>
                <w:rFonts w:ascii="仿宋_GB2312" w:hAnsi="仿宋_GB2312" w:cs="仿宋_GB2312" w:eastAsia="仿宋_GB2312"/>
              </w:rPr>
              <w:t>安全开发与漏洞管理要求：所有涉及数据处理或存储的应用程序在开发、测试和上线过程中，必须遵循安全编码规范。需定期进行安全漏洞扫描和渗透测试，并对发现的高危漏洞在规定时限内修复。</w:t>
            </w:r>
          </w:p>
          <w:p>
            <w:pPr>
              <w:pStyle w:val="null3"/>
              <w:outlineLvl w:val="1"/>
            </w:pPr>
            <w:r>
              <w:rPr>
                <w:rFonts w:ascii="仿宋_GB2312" w:hAnsi="仿宋_GB2312" w:cs="仿宋_GB2312" w:eastAsia="仿宋_GB2312"/>
                <w:sz w:val="36"/>
                <w:b/>
              </w:rPr>
              <w:t>1.4.售后服务要求</w:t>
            </w:r>
          </w:p>
          <w:p>
            <w:pPr>
              <w:pStyle w:val="null3"/>
              <w:outlineLvl w:val="2"/>
            </w:pPr>
            <w:r>
              <w:rPr>
                <w:rFonts w:ascii="仿宋_GB2312" w:hAnsi="仿宋_GB2312" w:cs="仿宋_GB2312" w:eastAsia="仿宋_GB2312"/>
                <w:sz w:val="28"/>
                <w:b/>
              </w:rPr>
              <w:t>1.4.1.质保期</w:t>
            </w:r>
          </w:p>
          <w:p>
            <w:pPr>
              <w:pStyle w:val="null3"/>
            </w:pPr>
            <w:r>
              <w:rPr>
                <w:rFonts w:ascii="仿宋_GB2312" w:hAnsi="仿宋_GB2312" w:cs="仿宋_GB2312" w:eastAsia="仿宋_GB2312"/>
              </w:rPr>
              <w:t>中标人在终验完成后提供保证系统正常运行1年的质保技术支撑服务，提供7×24小时服务响应，提供系统版本免费升级服务。如涉及政策因素对需求的变更、硬件厂商停产、停止维护、配件停止供应不可控因素原因的除外。中标人在质保服务期内须做到:</w:t>
            </w:r>
          </w:p>
          <w:p>
            <w:pPr>
              <w:pStyle w:val="null3"/>
            </w:pPr>
            <w:r>
              <w:rPr>
                <w:rFonts w:ascii="仿宋_GB2312" w:hAnsi="仿宋_GB2312" w:cs="仿宋_GB2312" w:eastAsia="仿宋_GB2312"/>
              </w:rPr>
              <w:t>（1）配备专业技术人员负责服务期限内对系统进行维护、升级、技术服务，每月安排专业技术人员进行现场巡检服务，并提供巡检报告，及时发现和排除潜在的问题或故障隐患，保证系统稳定正常运行。</w:t>
            </w:r>
          </w:p>
          <w:p>
            <w:pPr>
              <w:pStyle w:val="null3"/>
            </w:pPr>
            <w:r>
              <w:rPr>
                <w:rFonts w:ascii="仿宋_GB2312" w:hAnsi="仿宋_GB2312" w:cs="仿宋_GB2312" w:eastAsia="仿宋_GB2312"/>
              </w:rPr>
              <w:t>（2）故障发生时，维护人员立即响应，2小时内抵达现场，12小时内解决系统问题。</w:t>
            </w:r>
          </w:p>
          <w:p>
            <w:pPr>
              <w:pStyle w:val="null3"/>
            </w:pPr>
            <w:r>
              <w:rPr>
                <w:rFonts w:ascii="仿宋_GB2312" w:hAnsi="仿宋_GB2312" w:cs="仿宋_GB2312" w:eastAsia="仿宋_GB2312"/>
              </w:rPr>
              <w:t>（3）质保期内提供系统免费升级服务。</w:t>
            </w:r>
          </w:p>
          <w:p>
            <w:pPr>
              <w:pStyle w:val="null3"/>
              <w:outlineLvl w:val="2"/>
            </w:pPr>
            <w:r>
              <w:rPr>
                <w:rFonts w:ascii="仿宋_GB2312" w:hAnsi="仿宋_GB2312" w:cs="仿宋_GB2312" w:eastAsia="仿宋_GB2312"/>
                <w:sz w:val="28"/>
                <w:b/>
              </w:rPr>
              <w:t>1.4.2.培训服务</w:t>
            </w:r>
          </w:p>
          <w:p>
            <w:pPr>
              <w:pStyle w:val="null3"/>
            </w:pPr>
            <w:r>
              <w:rPr>
                <w:rFonts w:ascii="仿宋_GB2312" w:hAnsi="仿宋_GB2312" w:cs="仿宋_GB2312" w:eastAsia="仿宋_GB2312"/>
              </w:rPr>
              <w:t>（1）为使话务员能够尽快熟练的掌握话务技巧、软件操作、知识库运用、工单转办等业务，中标方须为本项目制定详细的培训计划。</w:t>
            </w:r>
          </w:p>
          <w:p>
            <w:pPr>
              <w:pStyle w:val="null3"/>
            </w:pPr>
            <w:r>
              <w:rPr>
                <w:rFonts w:ascii="仿宋_GB2312" w:hAnsi="仿宋_GB2312" w:cs="仿宋_GB2312" w:eastAsia="仿宋_GB2312"/>
              </w:rPr>
              <w:t>（2）在培训内容、时间、人数、内容以及地点等方面均按我办对培训服务的要求。经确认同意后制定和实施培训计划。</w:t>
            </w:r>
          </w:p>
          <w:p>
            <w:pPr>
              <w:pStyle w:val="null3"/>
            </w:pPr>
            <w:r>
              <w:rPr>
                <w:rFonts w:ascii="仿宋_GB2312" w:hAnsi="仿宋_GB2312" w:cs="仿宋_GB2312" w:eastAsia="仿宋_GB2312"/>
              </w:rPr>
              <w:t>（3）采取课堂培训和系统演示相结合的培训，同时提供一个正在运行的相似系统进行现场观测；</w:t>
            </w:r>
          </w:p>
          <w:p>
            <w:pPr>
              <w:pStyle w:val="null3"/>
            </w:pPr>
            <w:r>
              <w:rPr>
                <w:rFonts w:ascii="仿宋_GB2312" w:hAnsi="仿宋_GB2312" w:cs="仿宋_GB2312" w:eastAsia="仿宋_GB2312"/>
              </w:rPr>
              <w:t>（4）提供每人一套详细完备、通俗易懂的使用手册；</w:t>
            </w:r>
          </w:p>
          <w:p>
            <w:pPr>
              <w:pStyle w:val="null3"/>
            </w:pPr>
            <w:r>
              <w:rPr>
                <w:rFonts w:ascii="仿宋_GB2312" w:hAnsi="仿宋_GB2312" w:cs="仿宋_GB2312" w:eastAsia="仿宋_GB2312"/>
              </w:rPr>
              <w:t>（5）在服务期内，对话务员负责话务技能、软件操作等培训。</w:t>
            </w:r>
          </w:p>
          <w:p>
            <w:pPr>
              <w:pStyle w:val="null3"/>
            </w:pPr>
            <w:r>
              <w:rPr>
                <w:rFonts w:ascii="仿宋_GB2312" w:hAnsi="仿宋_GB2312" w:cs="仿宋_GB2312" w:eastAsia="仿宋_GB2312"/>
              </w:rPr>
              <w:t>（6）对所有平台工作人员培训方案要具备完整的人员培训目标、对象、课程体系、培训方法等，培训费用由中标人负责。</w:t>
            </w:r>
          </w:p>
          <w:p>
            <w:pPr>
              <w:pStyle w:val="null3"/>
            </w:pPr>
            <w:r>
              <w:rPr>
                <w:rFonts w:ascii="仿宋_GB2312" w:hAnsi="仿宋_GB2312" w:cs="仿宋_GB2312" w:eastAsia="仿宋_GB2312"/>
              </w:rPr>
              <w:t>（7）实施周期：本项目要求60个日历日内完成项目建设工作，经采购人初步验收后进行试运行，试运行期限为3个月，期间无重大故障，供应商提出最终验收。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标的名称：等保测评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left"/>
            </w:pPr>
            <w:r>
              <w:rPr>
                <w:rFonts w:ascii="仿宋_GB2312" w:hAnsi="仿宋_GB2312" w:cs="仿宋_GB2312" w:eastAsia="仿宋_GB2312"/>
              </w:rPr>
              <w:t>1.项目内容</w:t>
            </w:r>
          </w:p>
          <w:p>
            <w:pPr>
              <w:pStyle w:val="null3"/>
            </w:pPr>
            <w:r>
              <w:rPr>
                <w:rFonts w:ascii="仿宋_GB2312" w:hAnsi="仿宋_GB2312" w:cs="仿宋_GB2312" w:eastAsia="仿宋_GB2312"/>
              </w:rPr>
              <w:t>系统名单和拟定等级如下：</w:t>
            </w:r>
          </w:p>
          <w:tbl>
            <w:tblPr>
              <w:tblBorders>
                <w:top w:val="single"/>
                <w:left w:val="single"/>
                <w:bottom w:val="single"/>
                <w:right w:val="single"/>
                <w:insideH w:val="single"/>
                <w:insideV w:val="single"/>
              </w:tblBorders>
            </w:tblPr>
            <w:tblGrid>
              <w:gridCol w:w="851"/>
              <w:gridCol w:w="851"/>
              <w:gridCol w:w="851"/>
            </w:tblGrid>
            <w:tr>
              <w:tc>
                <w:tcPr>
                  <w:tcW w:type="dxa" w:w="851"/>
                </w:tcPr>
                <w:p>
                  <w:pPr>
                    <w:pStyle w:val="null3"/>
                  </w:pPr>
                  <w:r>
                    <w:rPr>
                      <w:rFonts w:ascii="仿宋_GB2312" w:hAnsi="仿宋_GB2312" w:cs="仿宋_GB2312" w:eastAsia="仿宋_GB2312"/>
                    </w:rPr>
                    <w:t>序号</w:t>
                  </w:r>
                </w:p>
              </w:tc>
              <w:tc>
                <w:tcPr>
                  <w:tcW w:type="dxa" w:w="851"/>
                </w:tcPr>
                <w:p>
                  <w:pPr>
                    <w:pStyle w:val="null3"/>
                  </w:pPr>
                  <w:r>
                    <w:rPr>
                      <w:rFonts w:ascii="仿宋_GB2312" w:hAnsi="仿宋_GB2312" w:cs="仿宋_GB2312" w:eastAsia="仿宋_GB2312"/>
                    </w:rPr>
                    <w:t>系统名称</w:t>
                  </w:r>
                </w:p>
              </w:tc>
              <w:tc>
                <w:tcPr>
                  <w:tcW w:type="dxa" w:w="851"/>
                </w:tcPr>
                <w:p>
                  <w:pPr>
                    <w:pStyle w:val="null3"/>
                  </w:pPr>
                  <w:r>
                    <w:rPr>
                      <w:rFonts w:ascii="仿宋_GB2312" w:hAnsi="仿宋_GB2312" w:cs="仿宋_GB2312" w:eastAsia="仿宋_GB2312"/>
                    </w:rPr>
                    <w:t>拟定等级</w:t>
                  </w:r>
                </w:p>
              </w:tc>
            </w:tr>
            <w:tr>
              <w:tc>
                <w:tcPr>
                  <w:tcW w:type="dxa" w:w="851"/>
                </w:tcPr>
                <w:p>
                  <w:pPr>
                    <w:pStyle w:val="null3"/>
                  </w:pPr>
                  <w:r>
                    <w:rPr>
                      <w:rFonts w:ascii="仿宋_GB2312" w:hAnsi="仿宋_GB2312" w:cs="仿宋_GB2312" w:eastAsia="仿宋_GB2312"/>
                    </w:rPr>
                    <w:t>1</w:t>
                  </w:r>
                </w:p>
              </w:tc>
              <w:tc>
                <w:tcPr>
                  <w:tcW w:type="dxa" w:w="851"/>
                </w:tcPr>
                <w:p>
                  <w:pPr>
                    <w:pStyle w:val="null3"/>
                  </w:pPr>
                  <w:r>
                    <w:rPr>
                      <w:rFonts w:ascii="仿宋_GB2312" w:hAnsi="仿宋_GB2312" w:cs="仿宋_GB2312" w:eastAsia="仿宋_GB2312"/>
                    </w:rPr>
                    <w:t>渭南市12345快速响应平台</w:t>
                  </w:r>
                </w:p>
              </w:tc>
              <w:tc>
                <w:tcPr>
                  <w:tcW w:type="dxa" w:w="851"/>
                </w:tcPr>
                <w:p>
                  <w:pPr>
                    <w:pStyle w:val="null3"/>
                  </w:pPr>
                  <w:r>
                    <w:rPr>
                      <w:rFonts w:ascii="仿宋_GB2312" w:hAnsi="仿宋_GB2312" w:cs="仿宋_GB2312" w:eastAsia="仿宋_GB2312"/>
                    </w:rPr>
                    <w:t>三级</w:t>
                  </w:r>
                </w:p>
              </w:tc>
            </w:tr>
          </w:tbl>
          <w:p>
            <w:pPr>
              <w:pStyle w:val="null3"/>
            </w:pPr>
            <w:r>
              <w:rPr>
                <w:rFonts w:ascii="仿宋_GB2312" w:hAnsi="仿宋_GB2312" w:cs="仿宋_GB2312" w:eastAsia="仿宋_GB2312"/>
              </w:rPr>
              <w:t>根据网络安全等级保护定级指南对其进行等保定级备案，并取得公安机关颁发的定级备案证明，依据国家等保测评2.0要求对指定信息系统，通过信息系统等级保护测评，分析每个单元与国家信息安全等级保护相应等级的标准之间的差距，同时对系统主机对象开展漏洞扫描工作，对系统开展渗透测试工作，得出测试结论。</w:t>
            </w:r>
          </w:p>
          <w:p>
            <w:pPr>
              <w:pStyle w:val="null3"/>
            </w:pPr>
            <w:r>
              <w:rPr>
                <w:rFonts w:ascii="仿宋_GB2312" w:hAnsi="仿宋_GB2312" w:cs="仿宋_GB2312" w:eastAsia="仿宋_GB2312"/>
              </w:rPr>
              <w:t>测评内容：按照国家等保测评2.0相关标准，包含以下内容：安全物理环境、安全通信网络、安全区域边界、安全计算环境、安全管理中心；安全管理机构、安全管理制度、安全管理人员、安全建设管理和安全运维管理；</w:t>
            </w:r>
          </w:p>
          <w:p>
            <w:pPr>
              <w:pStyle w:val="null3"/>
            </w:pPr>
            <w:r>
              <w:rPr>
                <w:rFonts w:ascii="仿宋_GB2312" w:hAnsi="仿宋_GB2312" w:cs="仿宋_GB2312" w:eastAsia="仿宋_GB2312"/>
              </w:rPr>
              <w:t>测评工作阶段包括：</w:t>
            </w:r>
          </w:p>
          <w:p>
            <w:pPr>
              <w:pStyle w:val="null3"/>
              <w:numPr>
                <w:ilvl w:val="0"/>
                <w:numId w:val="1"/>
              </w:numPr>
            </w:pPr>
            <w:r>
              <w:rPr>
                <w:rFonts w:ascii="仿宋_GB2312" w:hAnsi="仿宋_GB2312" w:cs="仿宋_GB2312" w:eastAsia="仿宋_GB2312"/>
              </w:rPr>
              <w:t>协助客户进行系统的定级备案，获取公安机关颁发的《信息系统安全等级保护备案证明》。</w:t>
            </w:r>
          </w:p>
          <w:p>
            <w:pPr>
              <w:pStyle w:val="null3"/>
              <w:numPr>
                <w:ilvl w:val="0"/>
                <w:numId w:val="1"/>
              </w:numPr>
            </w:pPr>
            <w:r>
              <w:rPr>
                <w:rFonts w:ascii="仿宋_GB2312" w:hAnsi="仿宋_GB2312" w:cs="仿宋_GB2312" w:eastAsia="仿宋_GB2312"/>
              </w:rPr>
              <w:t>根据等级保护相关标准要求对信息系统进行等保测评，通过测评找出系统中与等保相关标准的安全差距，并指导客户进行安全整改；</w:t>
            </w:r>
          </w:p>
          <w:p>
            <w:pPr>
              <w:pStyle w:val="null3"/>
              <w:numPr>
                <w:ilvl w:val="0"/>
                <w:numId w:val="1"/>
              </w:numPr>
            </w:pPr>
            <w:r>
              <w:rPr>
                <w:rFonts w:ascii="仿宋_GB2312" w:hAnsi="仿宋_GB2312" w:cs="仿宋_GB2312" w:eastAsia="仿宋_GB2312"/>
              </w:rPr>
              <w:t>整改完成后，出具对应的等级测评报告；</w:t>
            </w:r>
          </w:p>
          <w:p>
            <w:pPr>
              <w:pStyle w:val="null3"/>
              <w:numPr>
                <w:ilvl w:val="0"/>
                <w:numId w:val="1"/>
              </w:numPr>
            </w:pPr>
            <w:r>
              <w:rPr>
                <w:rFonts w:ascii="仿宋_GB2312" w:hAnsi="仿宋_GB2312" w:cs="仿宋_GB2312" w:eastAsia="仿宋_GB2312"/>
              </w:rPr>
              <w:t>标准依据</w:t>
            </w:r>
          </w:p>
          <w:p>
            <w:pPr>
              <w:pStyle w:val="null3"/>
            </w:pPr>
            <w:r>
              <w:rPr>
                <w:rFonts w:ascii="仿宋_GB2312" w:hAnsi="仿宋_GB2312" w:cs="仿宋_GB2312" w:eastAsia="仿宋_GB2312"/>
              </w:rPr>
              <w:t>本项目主要依据如下相关法规规范及办法开展：</w:t>
            </w:r>
          </w:p>
          <w:p>
            <w:pPr>
              <w:pStyle w:val="null3"/>
            </w:pPr>
            <w:r>
              <w:rPr>
                <w:rFonts w:ascii="仿宋_GB2312" w:hAnsi="仿宋_GB2312" w:cs="仿宋_GB2312" w:eastAsia="仿宋_GB2312"/>
              </w:rPr>
              <w:t>中华人民共和国网络安全法</w:t>
            </w:r>
          </w:p>
          <w:p>
            <w:pPr>
              <w:pStyle w:val="null3"/>
            </w:pPr>
            <w:r>
              <w:rPr>
                <w:rFonts w:ascii="仿宋_GB2312" w:hAnsi="仿宋_GB2312" w:cs="仿宋_GB2312" w:eastAsia="仿宋_GB2312"/>
              </w:rPr>
              <w:t>GB/T 22239-2019《信息安全技术信息系统安全等级保护基本要求》</w:t>
            </w:r>
          </w:p>
          <w:p>
            <w:pPr>
              <w:pStyle w:val="null3"/>
            </w:pPr>
            <w:r>
              <w:rPr>
                <w:rFonts w:ascii="仿宋_GB2312" w:hAnsi="仿宋_GB2312" w:cs="仿宋_GB2312" w:eastAsia="仿宋_GB2312"/>
              </w:rPr>
              <w:t>GB/T 28448-2019《信息安全技术信息系统安全等级保护测评要求》</w:t>
            </w:r>
          </w:p>
          <w:p>
            <w:pPr>
              <w:pStyle w:val="null3"/>
            </w:pPr>
            <w:r>
              <w:rPr>
                <w:rFonts w:ascii="仿宋_GB2312" w:hAnsi="仿宋_GB2312" w:cs="仿宋_GB2312" w:eastAsia="仿宋_GB2312"/>
              </w:rPr>
              <w:t>GB/T 28449-2019《信息系统安全等级保护测评过程指南》</w:t>
            </w:r>
          </w:p>
          <w:p>
            <w:pPr>
              <w:pStyle w:val="null3"/>
            </w:pPr>
            <w:r>
              <w:rPr>
                <w:rFonts w:ascii="仿宋_GB2312" w:hAnsi="仿宋_GB2312" w:cs="仿宋_GB2312" w:eastAsia="仿宋_GB2312"/>
              </w:rPr>
              <w:t>2.服务要求</w:t>
            </w:r>
          </w:p>
          <w:p>
            <w:pPr>
              <w:pStyle w:val="null3"/>
            </w:pPr>
            <w:r>
              <w:rPr>
                <w:rFonts w:ascii="仿宋_GB2312" w:hAnsi="仿宋_GB2312" w:cs="仿宋_GB2312" w:eastAsia="仿宋_GB2312"/>
              </w:rPr>
              <w:t>2.1实施基本要求</w:t>
            </w:r>
          </w:p>
          <w:p>
            <w:pPr>
              <w:pStyle w:val="null3"/>
            </w:pPr>
            <w:r>
              <w:rPr>
                <w:rFonts w:ascii="仿宋_GB2312" w:hAnsi="仿宋_GB2312" w:cs="仿宋_GB2312" w:eastAsia="仿宋_GB2312"/>
              </w:rPr>
              <w:t>2.1.1服务供应商应对了解到的信息保密，并提供书面保密承诺。</w:t>
            </w:r>
          </w:p>
          <w:p>
            <w:pPr>
              <w:pStyle w:val="null3"/>
            </w:pPr>
            <w:r>
              <w:rPr>
                <w:rFonts w:ascii="仿宋_GB2312" w:hAnsi="仿宋_GB2312" w:cs="仿宋_GB2312" w:eastAsia="仿宋_GB2312"/>
              </w:rPr>
              <w:t>2.1.2服务供应商应在项目实施周期内，成立项目实施小组，安排项目经理、核心技术等人员，确保顺利完成项目服务。</w:t>
            </w:r>
          </w:p>
          <w:p>
            <w:pPr>
              <w:pStyle w:val="null3"/>
            </w:pPr>
            <w:r>
              <w:rPr>
                <w:rFonts w:ascii="仿宋_GB2312" w:hAnsi="仿宋_GB2312" w:cs="仿宋_GB2312" w:eastAsia="仿宋_GB2312"/>
              </w:rPr>
              <w:t>2.1.3服务供应商应在整改过程中提供必要的技术支持。</w:t>
            </w:r>
          </w:p>
          <w:p>
            <w:pPr>
              <w:pStyle w:val="null3"/>
            </w:pPr>
            <w:r>
              <w:rPr>
                <w:rFonts w:ascii="仿宋_GB2312" w:hAnsi="仿宋_GB2312" w:cs="仿宋_GB2312" w:eastAsia="仿宋_GB2312"/>
              </w:rPr>
              <w:t>2.1.4服务供应商根据采购单位需求提供相关的安全培训。</w:t>
            </w:r>
          </w:p>
          <w:p>
            <w:pPr>
              <w:pStyle w:val="null3"/>
            </w:pPr>
            <w:r>
              <w:rPr>
                <w:rFonts w:ascii="仿宋_GB2312" w:hAnsi="仿宋_GB2312" w:cs="仿宋_GB2312" w:eastAsia="仿宋_GB2312"/>
              </w:rPr>
              <w:t>2.2团队成员要求</w:t>
            </w:r>
          </w:p>
          <w:p>
            <w:pPr>
              <w:pStyle w:val="null3"/>
            </w:pPr>
            <w:r>
              <w:rPr>
                <w:rFonts w:ascii="仿宋_GB2312" w:hAnsi="仿宋_GB2312" w:cs="仿宋_GB2312" w:eastAsia="仿宋_GB2312"/>
              </w:rPr>
              <w:t>2.2.1服务供应商应成立合理的组织机构，建立健全保障测试服务工作顺利实施的各项管理制度和质量保证体系。明确各岗位的职责、任职资格及成果，确保工程顺利实施。项目团队人员配置科学合理、分工明确，项目团队需保持稳定，制定具体管理措施，以确保具体工作得到有效落实。</w:t>
            </w:r>
          </w:p>
          <w:p>
            <w:pPr>
              <w:pStyle w:val="null3"/>
            </w:pPr>
            <w:r>
              <w:rPr>
                <w:rFonts w:ascii="仿宋_GB2312" w:hAnsi="仿宋_GB2312" w:cs="仿宋_GB2312" w:eastAsia="仿宋_GB2312"/>
              </w:rPr>
              <w:t>2.2.2供应商应和委托方建立健全通畅的沟通机制。项目团队需保持稳定，制定具体管理措施，以确保具体工作得到有效落实。</w:t>
            </w:r>
          </w:p>
          <w:p>
            <w:pPr>
              <w:pStyle w:val="null3"/>
            </w:pPr>
            <w:r>
              <w:rPr>
                <w:rFonts w:ascii="仿宋_GB2312" w:hAnsi="仿宋_GB2312" w:cs="仿宋_GB2312" w:eastAsia="仿宋_GB2312"/>
              </w:rPr>
              <w:t>3.1现场测评要求</w:t>
            </w:r>
          </w:p>
          <w:p>
            <w:pPr>
              <w:pStyle w:val="null3"/>
            </w:pPr>
            <w:r>
              <w:rPr>
                <w:rFonts w:ascii="仿宋_GB2312" w:hAnsi="仿宋_GB2312" w:cs="仿宋_GB2312" w:eastAsia="仿宋_GB2312"/>
              </w:rPr>
              <w:t>3.3.1依据相关管理规定及标准要求，按照程序对信息系统进行科学公正的综合测试评估活动，给出测试结果，出具测试报告。</w:t>
            </w:r>
          </w:p>
          <w:p>
            <w:pPr>
              <w:pStyle w:val="null3"/>
            </w:pPr>
            <w:r>
              <w:rPr>
                <w:rFonts w:ascii="仿宋_GB2312" w:hAnsi="仿宋_GB2312" w:cs="仿宋_GB2312" w:eastAsia="仿宋_GB2312"/>
              </w:rPr>
              <w:t>3.3.2本项目中可能需要的硬件平台(如笔记本电脑、PC、工作站等)均由服务供应商提供，采购单位将按照相关要求对设备进行必要的处理。服务供应商在服务期间未经许可不得将设备带离指定场所，也不得使用任何未经采购单位确认的存储设备对测试数据进行复制。</w:t>
            </w:r>
          </w:p>
          <w:p>
            <w:pPr>
              <w:pStyle w:val="null3"/>
            </w:pPr>
            <w:r>
              <w:rPr>
                <w:rFonts w:ascii="仿宋_GB2312" w:hAnsi="仿宋_GB2312" w:cs="仿宋_GB2312" w:eastAsia="仿宋_GB2312"/>
              </w:rPr>
              <w:t>3.2测试工具要求</w:t>
            </w:r>
          </w:p>
          <w:p>
            <w:pPr>
              <w:pStyle w:val="null3"/>
            </w:pPr>
            <w:r>
              <w:rPr>
                <w:rFonts w:ascii="仿宋_GB2312" w:hAnsi="仿宋_GB2312" w:cs="仿宋_GB2312" w:eastAsia="仿宋_GB2312"/>
              </w:rPr>
              <w:t>3.2.1本项目在实施过程中所使用到的专业测试工具，服务供应商必须保证所使用的所有工具和软件不具有所有权和知识产权纠纷，并保证工具和软件可用性和可靠性，由此产生的一切责任由服务供应商负全部责任。</w:t>
            </w:r>
          </w:p>
          <w:p>
            <w:pPr>
              <w:pStyle w:val="null3"/>
            </w:pPr>
            <w:r>
              <w:rPr>
                <w:rFonts w:ascii="仿宋_GB2312" w:hAnsi="仿宋_GB2312" w:cs="仿宋_GB2312" w:eastAsia="仿宋_GB2312"/>
              </w:rPr>
              <w:t>3.2.2在等级测评服务项目检测过程中使用的检测工具严格遵循可控性原则，即所有使用的测试工具将事先提交给采购单位检查并取得采购单位的书面确认，确保在双方认可的范围之内，而且测试过程中采用的技术手段确保已经过可靠的实际应用，并提供书面证明。同时，书面承诺在项目实施过程中使用的检测工具，免受第三方提出的侵犯其知识产权的起诉。</w:t>
            </w:r>
          </w:p>
          <w:p>
            <w:pPr>
              <w:pStyle w:val="null3"/>
            </w:pPr>
            <w:r>
              <w:rPr>
                <w:rFonts w:ascii="仿宋_GB2312" w:hAnsi="仿宋_GB2312" w:cs="仿宋_GB2312" w:eastAsia="仿宋_GB2312"/>
              </w:rPr>
              <w:t>3.3成果交付</w:t>
            </w:r>
          </w:p>
          <w:p>
            <w:pPr>
              <w:pStyle w:val="null3"/>
            </w:pPr>
            <w:r>
              <w:rPr>
                <w:rFonts w:ascii="仿宋_GB2312" w:hAnsi="仿宋_GB2312" w:cs="仿宋_GB2312" w:eastAsia="仿宋_GB2312"/>
              </w:rPr>
              <w:t>3.3.1服务供应商应按照服务需求，客观、公正、严谨开展服务工作，并在服务过程中和结束后，须提供采购单位指定的应用系统的测评服务报告及交付资料包括但不限于：《渭南市12345快速响应平台系统定级备案证明》（每个系统一份）；《渭南市12345快速响应平台系统信息系统等级保护测评报告》（每个系统二份）；《渭南市12345快速响应平台系统漏洞扫描报告》（每个系统一份）；《渭南市12345快速响应平台网络系统渗透测试报告》（每个系统一份）。</w:t>
            </w:r>
          </w:p>
          <w:p>
            <w:pPr>
              <w:pStyle w:val="null3"/>
            </w:pPr>
            <w:r>
              <w:rPr>
                <w:rFonts w:ascii="仿宋_GB2312" w:hAnsi="仿宋_GB2312" w:cs="仿宋_GB2312" w:eastAsia="仿宋_GB2312"/>
              </w:rPr>
              <w:t>4.测评服务内容</w:t>
            </w:r>
          </w:p>
          <w:p>
            <w:pPr>
              <w:pStyle w:val="null3"/>
            </w:pPr>
            <w:r>
              <w:rPr>
                <w:rFonts w:ascii="仿宋_GB2312" w:hAnsi="仿宋_GB2312" w:cs="仿宋_GB2312" w:eastAsia="仿宋_GB2312"/>
              </w:rPr>
              <w:t>4.1安全管理测评服务：</w:t>
            </w:r>
          </w:p>
          <w:p>
            <w:pPr>
              <w:pStyle w:val="null3"/>
            </w:pPr>
            <w:r>
              <w:rPr>
                <w:rFonts w:ascii="仿宋_GB2312" w:hAnsi="仿宋_GB2312" w:cs="仿宋_GB2312" w:eastAsia="仿宋_GB2312"/>
              </w:rPr>
              <w:t>4.1.1安全管理制度：根据现场安全测评记录，在安全管理制度方面的“管理制度”、“制定和发布”以及“评审和修订”等测评指标，判断出与其相对应的各测评项的测评结果；</w:t>
            </w:r>
          </w:p>
          <w:p>
            <w:pPr>
              <w:pStyle w:val="null3"/>
            </w:pPr>
            <w:r>
              <w:rPr>
                <w:rFonts w:ascii="仿宋_GB2312" w:hAnsi="仿宋_GB2312" w:cs="仿宋_GB2312" w:eastAsia="仿宋_GB2312"/>
              </w:rPr>
              <w:t>4.1.2安全管理机构：根据现场安全测评记录，应在安全管理机构方面的岗位设置、人员配备、授权和审批、沟通和合作、审核和检查等测评指标，判断出与其相对应的各测评项的测评结果；</w:t>
            </w:r>
          </w:p>
          <w:p>
            <w:pPr>
              <w:pStyle w:val="null3"/>
            </w:pPr>
            <w:r>
              <w:rPr>
                <w:rFonts w:ascii="仿宋_GB2312" w:hAnsi="仿宋_GB2312" w:cs="仿宋_GB2312" w:eastAsia="仿宋_GB2312"/>
              </w:rPr>
              <w:t>4.1.3人员安全管理：根据现场安全测评记录，应在人员安全管理方面的人员录用、人员离岗、安全意识教育和培训、外部人员访问管理等测评指标，判断出与其相对应的各测评项的测评结果；</w:t>
            </w:r>
          </w:p>
          <w:p>
            <w:pPr>
              <w:pStyle w:val="null3"/>
            </w:pPr>
            <w:r>
              <w:rPr>
                <w:rFonts w:ascii="仿宋_GB2312" w:hAnsi="仿宋_GB2312" w:cs="仿宋_GB2312" w:eastAsia="仿宋_GB2312"/>
              </w:rPr>
              <w:t>4.1.4安全运维管理：根据现场安全测评记录，对系统建设管理方面的环境管理、资产管理、介质管理、设备维护管理、漏洞和风险管理、网络和系统安全管理、恶意代码防范管理、配置管理、密码管理、变更管理、备份与恢复管理、安全事件处置、应急预案管理、外包运维管理等测评指标，判断出与其相对应的各测评项的测评结果；</w:t>
            </w:r>
          </w:p>
          <w:p>
            <w:pPr>
              <w:pStyle w:val="null3"/>
            </w:pPr>
            <w:r>
              <w:rPr>
                <w:rFonts w:ascii="仿宋_GB2312" w:hAnsi="仿宋_GB2312" w:cs="仿宋_GB2312" w:eastAsia="仿宋_GB2312"/>
              </w:rPr>
              <w:t>4.1.5安全建设管理：根据现场安全测评记录，在系统运维管理的定级和备案、安全方案设计、产品采购和使用、自行软件开发、外包软件开发、工程实施、测试验收、系统交付、等保测评、服务商选择等测评指标，判断出与其相对应的各测评项的测评结果。</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达到服务要求所必须的人员。</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达到服务要求所必须的设备。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达到服务要求所必须的设备。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本项目要求60个日历日内完成项目建设工作，经采购人初步验收后进行试运行，试运行期限为3个月，期间无重大故障，供应商提出最终验收。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接甲方通知后30个工作日内完成等保测评（整改时间除外）。（本项目一采三年，采购人对供应商进行考核，考核合格则续签次年合同，不合格则终止服务并重新采购）</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以采购文件、响应文件及签订合同要求为准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通过次采购人组织的验收后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完成测评后经采购人验收后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以采购文件、响应文件及签订合同要求为准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以采购文件、响应文件及签订合同要求为准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本项目政府采购工作，投标人须在陕西省政府采购电子化交易平台上传电子版投标文件并完成签章、加密，同时，线下递交纸质版投标文件正本一份。若电子版投标文件与纸质版投标文件不一致的，以陕西省政府采购电子化交易平台上传的电子版投标文件为准。纸质版投标文件递交截止时间同开标截止时间，递交地点为渭南市行政中心西配楼渭南市公共资源交易中心开标大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 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完整的2024年度经审计的财务报告，审计报告须在注册会计师行业统一监管平台报备并附验证码（成立时间至提交投标文件截止时间不足一年的可提供成立后任意时段的资产负债表），或其递交投标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提供递交投标文件截止之日前六个月内任意一个月的依法缴纳税收的相关凭据，凭据应有税务机关或代收机关的公章或业务专用章。依法免税或无须缴纳税收的供应商，应提供相应证明文件；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提供递交投标文件截止之日前六个月内任意一个月的社会保障资金缴存单据或社保机构开具的社会保险参保缴费情况证明。依法不需要缴纳社会保障资金的供应商应提供相关证明文件；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 3 年内在经营活动中没有重大违纪，以及未被列入失信被执行人、重大税收违法失信主体、政府采购严重违法失信行为记录名单的书面声明；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法定代表人/负责人授权委托书</w:t>
            </w:r>
          </w:p>
        </w:tc>
        <w:tc>
          <w:tcPr>
            <w:tcW w:type="dxa" w:w="3322"/>
          </w:tcPr>
          <w:p>
            <w:pPr>
              <w:pStyle w:val="null3"/>
            </w:pPr>
            <w:r>
              <w:rPr>
                <w:rFonts w:ascii="仿宋_GB2312" w:hAnsi="仿宋_GB2312" w:cs="仿宋_GB2312" w:eastAsia="仿宋_GB2312"/>
              </w:rPr>
              <w:t>法定代表人/负责人直接参加投标的，须出具法定代表人/负责人身份证明书及身份证；授权代表参加投标的，须出具法定代表人/负责人授权书及授权代表身份证（被授权人需提供文件递交截止时间前六个月内任意一个月的社会保障资金的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投标人关联关系声明，包括：①控股管理关系（不得与参加本项目的其他供应商单位负责人为同一人或者存在直接控股、管理关系），②未为本项目提供整体设计、规范编制或者项目管理、监理、检测等服务；</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特定资质</w:t>
            </w:r>
          </w:p>
        </w:tc>
        <w:tc>
          <w:tcPr>
            <w:tcW w:type="dxa" w:w="3322"/>
          </w:tcPr>
          <w:p>
            <w:pPr>
              <w:pStyle w:val="null3"/>
            </w:pPr>
            <w:r>
              <w:rPr>
                <w:rFonts w:ascii="仿宋_GB2312" w:hAnsi="仿宋_GB2312" w:cs="仿宋_GB2312" w:eastAsia="仿宋_GB2312"/>
              </w:rPr>
              <w:t>投标人具有有效的《网络安全服务认证证书等级保护测评服务认证》证书；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投标人认为有必要说明的其他资料.docx 质量保障措施及安全保障.docx 中小企业声明函 项目实施方案.docx 项目负责人及团队成员.docx 服务偏离表.docx 资格证明文件.docx 售后服务及培训方案.docx 保密方案.docx 分项报价表.docx 应急预案.docx 投标函 类似项目业绩.docx 残疾人福利性单位声明函 标的清单 保证金缴纳凭证.docx 投标文件封面 项目理解.docx 商务偏离表.docx 投标人承诺书.docx 总体设计方案、系统、数据融合及数据迁移方案.docx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投标人认为有必要说明的其他资料.docx 质量保障措施及安全保障.docx 中小企业声明函 项目实施方案.docx 项目负责人及团队成员.docx 服务偏离表.docx 资格证明文件.docx 售后服务及培训方案.docx 保密方案.docx 分项报价表.docx 应急预案.docx 投标函 类似项目业绩.docx 残疾人福利性单位声明函 标的清单 保证金缴纳凭证.docx 投标文件封面 项目理解.docx 商务偏离表.docx 投标人承诺书.docx 总体设计方案、系统、数据融合及数据迁移方案.docx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无不符合法律法规或招标文件规定的响应无效条款</w:t>
            </w:r>
          </w:p>
        </w:tc>
        <w:tc>
          <w:tcPr>
            <w:tcW w:type="dxa" w:w="1661"/>
          </w:tcPr>
          <w:p>
            <w:pPr>
              <w:pStyle w:val="null3"/>
            </w:pPr>
            <w:r>
              <w:rPr>
                <w:rFonts w:ascii="仿宋_GB2312" w:hAnsi="仿宋_GB2312" w:cs="仿宋_GB2312" w:eastAsia="仿宋_GB2312"/>
              </w:rPr>
              <w:t>报价一览表.docx 投标人认为有必要说明的其他资料.docx 质量保障措施及安全保障.docx 中小企业声明函 项目实施方案.docx 项目负责人及团队成员.docx 服务偏离表.docx 资格证明文件.docx 售后服务及培训方案.docx 保密方案.docx 分项报价表.docx 应急预案.docx 投标函 类似项目业绩.docx 残疾人福利性单位声明函 标的清单 保证金缴纳凭证.docx 投标文件封面 项目理解.docx 商务偏离表.docx 投标人承诺书.docx 总体设计方案、系统、数据融合及数据迁移方案.docx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报价一览表.docx 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投标人名称和公章、营业执照一致</w:t>
            </w:r>
          </w:p>
        </w:tc>
        <w:tc>
          <w:tcPr>
            <w:tcW w:type="dxa" w:w="1661"/>
          </w:tcPr>
          <w:p>
            <w:pPr>
              <w:pStyle w:val="null3"/>
            </w:pPr>
            <w:r>
              <w:rPr>
                <w:rFonts w:ascii="仿宋_GB2312" w:hAnsi="仿宋_GB2312" w:cs="仿宋_GB2312" w:eastAsia="仿宋_GB2312"/>
              </w:rPr>
              <w:t>报价一览表.docx 售后服务方案.docx 进度及质量管理控制措施.docx 测评服务方案.docx 服务偏离表.docx 资格证明文件.docx 安全保障服务方案.docx 分项报价表.docx 应急预案.docx 企业综合实力.docx 投标函 标的清单 保证金缴纳凭证.docx 投标文件封面 项目团队人员配备.docx 商务偏离表.docx 监狱企业的证明文件 项目理解及重难点分析.docx 投标人认为有必要说明的其他资料.docx 中小企业声明函 保密方案.docx 类似项目业绩.docx 残疾人福利性单位声明函 技术力量配备.docx 成果交付及合理化建议.docx 投标人承诺书.docx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完整无缺项，无选择性报价</w:t>
            </w:r>
          </w:p>
        </w:tc>
        <w:tc>
          <w:tcPr>
            <w:tcW w:type="dxa" w:w="1661"/>
          </w:tcPr>
          <w:p>
            <w:pPr>
              <w:pStyle w:val="null3"/>
            </w:pPr>
            <w:r>
              <w:rPr>
                <w:rFonts w:ascii="仿宋_GB2312" w:hAnsi="仿宋_GB2312" w:cs="仿宋_GB2312" w:eastAsia="仿宋_GB2312"/>
              </w:rPr>
              <w:t>报价一览表.docx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w:t>
            </w:r>
          </w:p>
        </w:tc>
        <w:tc>
          <w:tcPr>
            <w:tcW w:type="dxa" w:w="3322"/>
          </w:tcPr>
          <w:p>
            <w:pPr>
              <w:pStyle w:val="null3"/>
            </w:pPr>
            <w:r>
              <w:rPr>
                <w:rFonts w:ascii="仿宋_GB2312" w:hAnsi="仿宋_GB2312" w:cs="仿宋_GB2312" w:eastAsia="仿宋_GB2312"/>
              </w:rPr>
              <w:t>自投标文件递交截止之日起不少于90个日历日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投标文件的签字盖章合格有效</w:t>
            </w:r>
          </w:p>
        </w:tc>
        <w:tc>
          <w:tcPr>
            <w:tcW w:type="dxa" w:w="1661"/>
          </w:tcPr>
          <w:p>
            <w:pPr>
              <w:pStyle w:val="null3"/>
            </w:pPr>
            <w:r>
              <w:rPr>
                <w:rFonts w:ascii="仿宋_GB2312" w:hAnsi="仿宋_GB2312" w:cs="仿宋_GB2312" w:eastAsia="仿宋_GB2312"/>
              </w:rPr>
              <w:t>报价一览表.docx 售后服务方案.docx 进度及质量管理控制措施.docx 测评服务方案.docx 服务偏离表.docx 资格证明文件.docx 安全保障服务方案.docx 分项报价表.docx 应急预案.docx 企业综合实力.docx 投标函 标的清单 保证金缴纳凭证.docx 投标文件封面 项目团队人员配备.docx 商务偏离表.docx 监狱企业的证明文件 项目理解及重难点分析.docx 投标人认为有必要说明的其他资料.docx 中小企业声明函 保密方案.docx 类似项目业绩.docx 残疾人福利性单位声明函 技术力量配备.docx 成果交付及合理化建议.docx 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保证金缴纳凭证.docx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招标文件商务条款</w:t>
            </w:r>
          </w:p>
        </w:tc>
        <w:tc>
          <w:tcPr>
            <w:tcW w:type="dxa" w:w="3322"/>
          </w:tcPr>
          <w:p>
            <w:pPr>
              <w:pStyle w:val="null3"/>
            </w:pPr>
            <w:r>
              <w:rPr>
                <w:rFonts w:ascii="仿宋_GB2312" w:hAnsi="仿宋_GB2312" w:cs="仿宋_GB2312" w:eastAsia="仿宋_GB2312"/>
              </w:rPr>
              <w:t>响应招标文件商务条款，无重大保留或偏差</w:t>
            </w:r>
          </w:p>
        </w:tc>
        <w:tc>
          <w:tcPr>
            <w:tcW w:type="dxa" w:w="1661"/>
          </w:tcPr>
          <w:p>
            <w:pPr>
              <w:pStyle w:val="null3"/>
            </w:pPr>
            <w:r>
              <w:rPr>
                <w:rFonts w:ascii="仿宋_GB2312" w:hAnsi="仿宋_GB2312" w:cs="仿宋_GB2312" w:eastAsia="仿宋_GB2312"/>
              </w:rPr>
              <w:t>商务偏离表.docx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无不符合法律法规或招标文件规定的响应无效条款</w:t>
            </w:r>
          </w:p>
        </w:tc>
        <w:tc>
          <w:tcPr>
            <w:tcW w:type="dxa" w:w="1661"/>
          </w:tcPr>
          <w:p>
            <w:pPr>
              <w:pStyle w:val="null3"/>
            </w:pPr>
            <w:r>
              <w:rPr>
                <w:rFonts w:ascii="仿宋_GB2312" w:hAnsi="仿宋_GB2312" w:cs="仿宋_GB2312" w:eastAsia="仿宋_GB2312"/>
              </w:rPr>
              <w:t>报价一览表.docx 售后服务方案.docx 进度及质量管理控制措施.docx 测评服务方案.docx 服务偏离表.docx 资格证明文件.docx 安全保障服务方案.docx 分项报价表.docx 应急预案.docx 企业综合实力.docx 投标函 标的清单 保证金缴纳凭证.docx 投标文件封面 项目团队人员配备.docx 商务偏离表.docx 监狱企业的证明文件 项目理解及重难点分析.docx 投标人认为有必要说明的其他资料.docx 中小企业声明函 保密方案.docx 类似项目业绩.docx 残疾人福利性单位声明函 技术力量配备.docx 成果交付及合理化建议.docx 投标人承诺书.docx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针对本项目提供完善的项目理解，包括但不限于：①项目背景、项目现状理解、项目需求分析、项目升级目标；②项目重点难点分析及应对措施。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①项目背景、项目现状理解、项目需求分析、项目升级目标：每完全满足一个评审标准得1分，满分3分。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项目理解.docx</w:t>
            </w:r>
          </w:p>
        </w:tc>
      </w:tr>
      <w:tr>
        <w:tc>
          <w:tcPr>
            <w:tcW w:type="dxa" w:w="831"/>
            <w:vMerge/>
          </w:tcPr>
          <w:p/>
        </w:tc>
        <w:tc>
          <w:tcPr>
            <w:tcW w:type="dxa" w:w="1661"/>
          </w:tcPr>
          <w:p>
            <w:pPr>
              <w:pStyle w:val="null3"/>
            </w:pPr>
            <w:r>
              <w:rPr>
                <w:rFonts w:ascii="仿宋_GB2312" w:hAnsi="仿宋_GB2312" w:cs="仿宋_GB2312" w:eastAsia="仿宋_GB2312"/>
              </w:rPr>
              <w:t>总体设计方案、系统、数据融合及数据迁移方案</w:t>
            </w:r>
          </w:p>
        </w:tc>
        <w:tc>
          <w:tcPr>
            <w:tcW w:type="dxa" w:w="2492"/>
          </w:tcPr>
          <w:p>
            <w:pPr>
              <w:pStyle w:val="null3"/>
            </w:pPr>
            <w:r>
              <w:rPr>
                <w:rFonts w:ascii="仿宋_GB2312" w:hAnsi="仿宋_GB2312" w:cs="仿宋_GB2312" w:eastAsia="仿宋_GB2312"/>
              </w:rPr>
              <w:t>一、评审内容 针对本项目提供完善的总体设计方案、数据融合及数据迁移方案，包括但不限于：①总体设计方案，包括功能架构设计、数据架构设计、网络架构设计；②系统、数据融合方案；③数据迁移方案。 二、评审标准 1、完整性：方案须全面，对评审内容中的各项要求有详细描述； 2、可实施性：切合本项目实际情况，实施步骤清晰、合理； 3、针对性：方案能够紧扣项目实际情况，内容科学合理。 三、赋分依据（满分9分） ①总体设计方案，包括功能架构设计、数据架构设计、网络架构设计：每完全满足一个评审标准得1分，满分3分。 ②系统、数据融合方案：每完全满足一个评审标准得1分，满分3分。 ③数据迁移方案：每完全满足一个评审标准得1分，满分3分。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总体设计方案、系统、数据融合及数据迁移方案.docx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针对本项目提供完善的项目实施方案，包括但不限于：①项目过程管理方案；②实施进度计划及安排；③阶段工作和关键节点保障措施；④系统安装调试及测试方案；⑤项目沟通、协调机制；⑥项目后期验收方案。 二、评审标准 1、完整性：方案须全面，对评审内容中的各项要求有详细描述； 2、可实施性：切合本项目实际情况，实施步骤清晰、合理； 3、针对性：方案能够紧扣项目实际情况，内容科学合理。 三、赋分依据（满分18分） ①项目过程管理方案：每完全满足一个评审标准得1分，满分3分。 ②实施进度计划及安排：每完全满足一个评审标准得1分，满分3分。 ③阶段工作和关键节点保障措施：每完全满足一个评审标准得1分，满分3分。 ④系统安装调试及测试方案：每完全满足一个评审标准得1分，满分3分。 ⑤项目沟通、协调机制：每完全满足一个评审标准得1分，满分3分。 ⑥项目后期验收方案：每完全满足一个评审标准得1分，满分3分。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质量保障措施及安全保障</w:t>
            </w:r>
          </w:p>
        </w:tc>
        <w:tc>
          <w:tcPr>
            <w:tcW w:type="dxa" w:w="2492"/>
          </w:tcPr>
          <w:p>
            <w:pPr>
              <w:pStyle w:val="null3"/>
            </w:pPr>
            <w:r>
              <w:rPr>
                <w:rFonts w:ascii="仿宋_GB2312" w:hAnsi="仿宋_GB2312" w:cs="仿宋_GB2312" w:eastAsia="仿宋_GB2312"/>
              </w:rPr>
              <w:t>一、评审内容 针对本项目提供完善的质量保障措施及安全保障，包括但不限于：①服务质量保障措施；②数据及系统安全保障措施；③系统安装、调试与验收的质量保证；④风险控制保障措施。 二、评审标准 1、完整性：方案须全面，对评审内容中的各项要求有详细描述； 2、可实施性：切合本项目实际情况，实施步骤清晰、合理； 3、针对性：方案能够紧扣项目实际情况，内容科学合理。 三、赋分依据（满分12分） ①服务质量保障措施：每完全满足一个评审标准得1分，满分3分。 ②数据及系统安全保障措施：每完全满足一个评审标准得1分，满分3分。 ③系统安装、调试与验收的质量保证：每完全满足一个评审标准得1分，满分3分。 ④风险控制保障措施：每完全满足一个评审标准得1分，满分3分。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质量保障措施及安全保障.docx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 xml:space="preserve"> 一、评审内容 针对本项目提供完善的保密方案，包括但不限于：①涉密数据及资料的保密方案；②供应商保密管理制度。 二、评审标准 1、完整性：方案须全面，对评审内容中的各项要求有详细描述； 2、可实施性：切合本项目实际情况，实施步骤清晰、合理； 3、针对性：方案能够紧扣项目实际情况，内容科学合理。 三、赋分依据（满分6分） ①涉密文件及资料的保密方案：每完全满足一个评审标准得1分，满分3分。 ②供应商保密管理制度：每完全满足一个评审标准得1分，满分3分。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项目负责人及团队成员</w:t>
            </w:r>
          </w:p>
        </w:tc>
        <w:tc>
          <w:tcPr>
            <w:tcW w:type="dxa" w:w="2492"/>
          </w:tcPr>
          <w:p>
            <w:pPr>
              <w:pStyle w:val="null3"/>
            </w:pPr>
            <w:r>
              <w:rPr>
                <w:rFonts w:ascii="仿宋_GB2312" w:hAnsi="仿宋_GB2312" w:cs="仿宋_GB2312" w:eastAsia="仿宋_GB2312"/>
              </w:rPr>
              <w:t>（1）项目经理：提供本项目拟派的项目经理的PMP证书或信息系统项目管理师证书的得2分。本小项最高得2分。 （2）技术支持人员：每配备一名具备PMP证书或者信息系统项目管理师证书的技术支持人员得1分，本小项最高得3分。 注：项目经理不可以作为技术支持人员计数，提供以上证书及相关证明材料方可得分。 备注：①以上所有人员均须提供身份证正反面扫描件；②以上所有人员须提供相关证书扫描件；③以上所有人员须提供所在投标人单位近六个月内为其连续缴纳2个月的社保证明材料。</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项目负责人及团队成员.docx</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一、评审内容 针对本项目提供完善的售后服务及培训方案，包括但不限于：①售后响应时间、故障排除时间；②售后服务方案及售后服务保障措施；③售后人员配置安排计划及故障处理响应时间及驻场维保方案；④培训方案及计划、培训人员安排；⑤培训的具体内容及方式，确保使用人员能够独立熟练操作、维护和正常使用。 二、评审标准 1、完整性：方案须全面，对评审内容中的各项要求有详细描述； 2、可实施性：切合本项目实际情况，实施步骤清晰、合理； 3、针对性：方案能够紧扣项目实际情况，内容科学合理。 三、赋分依据（满分15分） ①售后响应时间、故障排除时间：每完全满足一个评审标准得1分，满分3分。 ②售后服务方案及售后服务保障措施：每完全满足一个评审标准得1分，满分3分。 ③售后人员配置安排计划及故障处理响应时间及驻场维保方案：每完全满足一个评审标准得1分，满分3分。 ④培训方案及计划、培训人员安排：每完全满足一个评审标准得1分，满分3分。 ⑤培训的具体内容及方式，确保使用人员能够独立熟练操作、维护和正常使用：每完全满足一个评审标准得1分，满分3分。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售后服务及培训方案.docx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针对本项目提供完善的应急预案，包括但不限于：①紧急情况及突发事件处理方案；②应急服务人员及服务有保障。 二、评审标准 1、完整性：方案须全面，对评审内容中的各项要求有详细描述； 2、可实施性：切合本项目实际情况，实施步骤清晰、合理； 3、针对性：方案能够紧扣项目实际情况，内容科学合理。 三、赋分依据（满分6分） ①紧急情况及突发事件处理方案：每完全满足一个评审标准得1分，满分3分。 ②应急服务人员及服务有保障：每完全满足一个评审标准得1分，满分3分。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投标人自2022年1月1日以来（以合同签订时间为准），承担过类似项目的业绩，每提供一项业绩得1分，最高得3分。 （以投标文件中合同或合同关键页（必须含封面、内容、签订时间、盖章签字页等信息）加盖公章的扫描件为准，未提供不得分）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项目理解及重难点分析</w:t>
            </w:r>
          </w:p>
        </w:tc>
        <w:tc>
          <w:tcPr>
            <w:tcW w:type="dxa" w:w="2492"/>
          </w:tcPr>
          <w:p>
            <w:pPr>
              <w:pStyle w:val="null3"/>
            </w:pPr>
            <w:r>
              <w:rPr>
                <w:rFonts w:ascii="仿宋_GB2312" w:hAnsi="仿宋_GB2312" w:cs="仿宋_GB2312" w:eastAsia="仿宋_GB2312"/>
              </w:rPr>
              <w:t>一、评审内容 针对本项目提供完善的项目理解及重难点分析，包括但不限于：①项目背景、项目现状理解、项目需求分析、工作思路、工作流程；②项目重点难点分析及应对措施。 二、评审标准 1、完整性：方案须全面，对评审内容中的各项要求有详细描述； 2、可实施性：切合本项目实际情况，实施步骤清晰、合理； 3、针对性：方案能够紧扣项目实际情况，内容科学合理。 三、赋分依据（满分6分） ①项目背景、项目现状理解、项目需求分析、项目升级目标：每完全满足一个评审标准得1分，满分3分。 ②项目重点难点分析及应对措施：每完全满足一个评审标准得1分，满分3分。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项目理解及重难点分析.docx</w:t>
            </w:r>
          </w:p>
        </w:tc>
      </w:tr>
      <w:tr>
        <w:tc>
          <w:tcPr>
            <w:tcW w:type="dxa" w:w="831"/>
            <w:vMerge/>
          </w:tcPr>
          <w:p/>
        </w:tc>
        <w:tc>
          <w:tcPr>
            <w:tcW w:type="dxa" w:w="1661"/>
          </w:tcPr>
          <w:p>
            <w:pPr>
              <w:pStyle w:val="null3"/>
            </w:pPr>
            <w:r>
              <w:rPr>
                <w:rFonts w:ascii="仿宋_GB2312" w:hAnsi="仿宋_GB2312" w:cs="仿宋_GB2312" w:eastAsia="仿宋_GB2312"/>
              </w:rPr>
              <w:t>测评服务方案</w:t>
            </w:r>
          </w:p>
        </w:tc>
        <w:tc>
          <w:tcPr>
            <w:tcW w:type="dxa" w:w="2492"/>
          </w:tcPr>
          <w:p>
            <w:pPr>
              <w:pStyle w:val="null3"/>
            </w:pPr>
            <w:r>
              <w:rPr>
                <w:rFonts w:ascii="仿宋_GB2312" w:hAnsi="仿宋_GB2312" w:cs="仿宋_GB2312" w:eastAsia="仿宋_GB2312"/>
              </w:rPr>
              <w:t>一、评审内容 依据国家等级保护2.0测评标准体系要求，并结合招标文件要求，提供针对本项目的完整测评服务方案，包括但不限于：①测评准备；②方案编制；③分析整改建设；④安全管理测评方案。 二、评审标准 1、完整性：方案须全面，对评审内容中的各项要求有详细描述； 2、可实施性：切合本项目实际情况，实施步骤清晰、合理； 3、针对性：方案能够紧扣项目实际情况，内容科学合理。 三、赋分依据（满分12分） ①测评准备：每完全满足一个评审标准得1分，满分3分。 ②方案编制：每完全满足一个评审标准得1分，满分3分。 ③分析整改建设：每完全满足一个评审标准得1分，满分3分。 ④安全管理测评方案：每完全满足一个评审标准得1分，满分3分。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测评服务方案.docx</w:t>
            </w:r>
          </w:p>
        </w:tc>
      </w:tr>
      <w:tr>
        <w:tc>
          <w:tcPr>
            <w:tcW w:type="dxa" w:w="831"/>
            <w:vMerge/>
          </w:tcPr>
          <w:p/>
        </w:tc>
        <w:tc>
          <w:tcPr>
            <w:tcW w:type="dxa" w:w="1661"/>
          </w:tcPr>
          <w:p>
            <w:pPr>
              <w:pStyle w:val="null3"/>
            </w:pPr>
            <w:r>
              <w:rPr>
                <w:rFonts w:ascii="仿宋_GB2312" w:hAnsi="仿宋_GB2312" w:cs="仿宋_GB2312" w:eastAsia="仿宋_GB2312"/>
              </w:rPr>
              <w:t>安全保障服务方案</w:t>
            </w:r>
          </w:p>
        </w:tc>
        <w:tc>
          <w:tcPr>
            <w:tcW w:type="dxa" w:w="2492"/>
          </w:tcPr>
          <w:p>
            <w:pPr>
              <w:pStyle w:val="null3"/>
            </w:pPr>
            <w:r>
              <w:rPr>
                <w:rFonts w:ascii="仿宋_GB2312" w:hAnsi="仿宋_GB2312" w:cs="仿宋_GB2312" w:eastAsia="仿宋_GB2312"/>
              </w:rPr>
              <w:t>一、评审内容 针对本项目提供完善的安全保障服务方案，包括但不限于：①安全咨询服务；②安全培训服务；③漏洞扫描服务；④安全检查服务及专项网络安全应急服务。 二、评审标准 1、完整性：方案须全面，对评审内容中的各项要求有详细描述； 2、可实施性：切合本项目实际情况，实施步骤清晰、合理； 3、针对性：方案能够紧扣项目实际情况，内容科学合理。 三、赋分依据（满分12分） ①安全咨询服务：每完全满足一个评审标准得1分，满分3分。 ②安全培训服务：每完全满足一个评审标准得1分，满分3分。 ③漏洞扫描服务：每完全满足一个评审标准得1分，满分3分。 ④安全检查服务及专项网络安全应急服务：每完全满足一个评审标准得1分，满分3分。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安全保障服务方案.docx</w:t>
            </w:r>
          </w:p>
        </w:tc>
      </w:tr>
      <w:tr>
        <w:tc>
          <w:tcPr>
            <w:tcW w:type="dxa" w:w="831"/>
            <w:vMerge/>
          </w:tcPr>
          <w:p/>
        </w:tc>
        <w:tc>
          <w:tcPr>
            <w:tcW w:type="dxa" w:w="1661"/>
          </w:tcPr>
          <w:p>
            <w:pPr>
              <w:pStyle w:val="null3"/>
            </w:pPr>
            <w:r>
              <w:rPr>
                <w:rFonts w:ascii="仿宋_GB2312" w:hAnsi="仿宋_GB2312" w:cs="仿宋_GB2312" w:eastAsia="仿宋_GB2312"/>
              </w:rPr>
              <w:t>进度及质量管理控制措施</w:t>
            </w:r>
          </w:p>
        </w:tc>
        <w:tc>
          <w:tcPr>
            <w:tcW w:type="dxa" w:w="2492"/>
          </w:tcPr>
          <w:p>
            <w:pPr>
              <w:pStyle w:val="null3"/>
            </w:pPr>
            <w:r>
              <w:rPr>
                <w:rFonts w:ascii="仿宋_GB2312" w:hAnsi="仿宋_GB2312" w:cs="仿宋_GB2312" w:eastAsia="仿宋_GB2312"/>
              </w:rPr>
              <w:t>一、评审内容 针对本项目提供完善的进度及质量管理控制措施，包括但不限于：①实施进度计划、安排及阶段工作和关键节点保障措施；②服务质量保障措施；③质量管理体系；④项目沟通、协调机制。 二、评审标准 1、完整性：方案须全面，对评审内容中的各项要求有详细描述； 2、可实施性：切合本项目实际情况，实施步骤清晰、合理； 3、针对性：方案能够紧扣项目实际情况，内容科学合理。 三、赋分依据（满分12分） ①实施进度计划、安排及阶段工作和关键节点保障措施：每完全满足一个评审标准得1分，满分3分。 ②服务质量保障措施：每完全满足一个评审标准得1分，满分3分。 ③质量管理体系：每完全满足一个评审标准得1分，满分3分。 ④项目沟通、协调机制：每完全满足一个评审标准得1分，满分3分。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进度及质量管理控制措施.docx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针对本项目提供完善的保密方案，包括但不限于：①保密承诺及供应商保密管理制度；②涉密数据及资料的保密方案。 二、评审标准 1、完整性：方案须全面，对评审内容中的各项要求有详细描述； 2、可实施性：切合本项目实际情况，实施步骤清晰、合理； 3、针对性：方案能够紧扣项目实际情况，内容科学合理。 三、赋分依据（满分6分） ①保密承诺及供应商保密管理制度：每完全满足一个评审标准得1分，满分3分。 ②涉密数据及资料的保密方案：每完全满足一个评审标准得1分，满分3分。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技术力量配备</w:t>
            </w:r>
          </w:p>
        </w:tc>
        <w:tc>
          <w:tcPr>
            <w:tcW w:type="dxa" w:w="2492"/>
          </w:tcPr>
          <w:p>
            <w:pPr>
              <w:pStyle w:val="null3"/>
            </w:pPr>
            <w:r>
              <w:rPr>
                <w:rFonts w:ascii="仿宋_GB2312" w:hAnsi="仿宋_GB2312" w:cs="仿宋_GB2312" w:eastAsia="仿宋_GB2312"/>
              </w:rPr>
              <w:t>1、项目经理 项目经理具备网络安全等级测评师（高级）证书得1分。 2、技术支持人员（项目经理除外） 具备网络安全等级测评师（高级）证书、注册密码安全专业人员（NSATP-CSP）、注册信息安全专业人员（CISP-CISE）证书。每提供1个证书得1分，最高得3分。 注：以上人员须提供相关证书复印件、相关证明材料以及近六个月内任意三个月在本单位的社保缴纳证明材料复印件。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技术力量配备.docx</w:t>
            </w:r>
          </w:p>
        </w:tc>
      </w:tr>
      <w:tr>
        <w:tc>
          <w:tcPr>
            <w:tcW w:type="dxa" w:w="831"/>
            <w:vMerge/>
          </w:tcPr>
          <w:p/>
        </w:tc>
        <w:tc>
          <w:tcPr>
            <w:tcW w:type="dxa" w:w="1661"/>
          </w:tcPr>
          <w:p>
            <w:pPr>
              <w:pStyle w:val="null3"/>
            </w:pPr>
            <w:r>
              <w:rPr>
                <w:rFonts w:ascii="仿宋_GB2312" w:hAnsi="仿宋_GB2312" w:cs="仿宋_GB2312" w:eastAsia="仿宋_GB2312"/>
              </w:rPr>
              <w:t>项目团队人员配备</w:t>
            </w:r>
          </w:p>
        </w:tc>
        <w:tc>
          <w:tcPr>
            <w:tcW w:type="dxa" w:w="2492"/>
          </w:tcPr>
          <w:p>
            <w:pPr>
              <w:pStyle w:val="null3"/>
            </w:pPr>
            <w:r>
              <w:rPr>
                <w:rFonts w:ascii="仿宋_GB2312" w:hAnsi="仿宋_GB2312" w:cs="仿宋_GB2312" w:eastAsia="仿宋_GB2312"/>
              </w:rPr>
              <w:t>一、评审内容 针对本项目提供完善的项目团队人员配备，包括但不限于：①团队组织架构、人员构成、分工及从业经验；②岗位设置及岗位管理制度。 二、评审标准 1、完整性：方案须全面，对评审内容中的各项要求有详细描述； 2、可实施性：切合本项目实际情况，实施步骤清晰、合理； 3、针对性：方案能够紧扣项目实际情况，内容科学合理。 三、赋分依据（满分3分） ①团队组织架构、人员构成、分工及从业经验：每完全满足一个评审标准得0.5分，满分1.5分。 ②岗位设置及岗位管理制度：每完全满足一个评审标准得0.5分，满分1.5分。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项目团队人员配备.docx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针对本项目提供完善的售后服务方案，包括但不限于：①售后响应时间、故障排除时间、售后人员配置安排计划；②售后服务方案及售后服务保障措施。 二、评审标准 1、完整性：方案须全面，对评审内容中的各项要求有详细描述； 2、可实施性：切合本项目实际情况，实施步骤清晰、合理； 3、针对性：方案能够紧扣项目实际情况，内容科学合理。 三、赋分依据（满分6分） ①售后响应时间、故障排除时间、售后人员配置安排计划：每完全满足一个评审标准得1分，满分3分。 ②售后服务方案及售后服务保障措施：每完全满足一个评审标准得1分，满分3分。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针对本项目提供完善的应急预案，包括但不限于：①紧急情况及突发事件处理方案；②应急服务人员及服务有保障。 二、评审标准 1、完整性：方案须全面，对评审内容中的各项要求有详细描述； 2、可实施性：切合本项目实际情况，实施步骤清晰、合理； 3、针对性：方案能够紧扣项目实际情况，内容科学合理。 三、赋分依据（满分6分） ①紧急情况及突发事件处理方案：每完全满足一个评审标准得1分，满分3分。 ②应急服务人员及服务有保障：每完全满足一个评审标准得1分，满分3分。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成果交付及合理化建议</w:t>
            </w:r>
          </w:p>
        </w:tc>
        <w:tc>
          <w:tcPr>
            <w:tcW w:type="dxa" w:w="2492"/>
          </w:tcPr>
          <w:p>
            <w:pPr>
              <w:pStyle w:val="null3"/>
            </w:pPr>
            <w:r>
              <w:rPr>
                <w:rFonts w:ascii="仿宋_GB2312" w:hAnsi="仿宋_GB2312" w:cs="仿宋_GB2312" w:eastAsia="仿宋_GB2312"/>
              </w:rPr>
              <w:t>一、评审内容 针对本项目提供完善的成果交付及合理化建议，包括但不限于：①测评服务全过程资料的收集、整理及移交；②针对本项目提出有益于在技术、质量、进度或管理等方面进行改进的意见建议。 二、评审标准 1、完整性：方案须全面，对评审内容中的各项要求有详细描述； 2、可实施性：切合本项目实际情况，实施步骤清晰、合理； 3、针对性：方案能够紧扣项目实际情况，内容科学合理。 三、赋分依据（满分6分） ①测评服务全过程资料的收集、整理及移交：每完全满足一个评审标准得1分，满分3分。 ②合理化建议：每完全满足一个评审标准得1分，满分3分。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成果交付及合理化建议.docx</w:t>
            </w:r>
          </w:p>
        </w:tc>
      </w:tr>
      <w:tr>
        <w:tc>
          <w:tcPr>
            <w:tcW w:type="dxa" w:w="831"/>
            <w:vMerge/>
          </w:tcPr>
          <w:p/>
        </w:tc>
        <w:tc>
          <w:tcPr>
            <w:tcW w:type="dxa" w:w="1661"/>
          </w:tcPr>
          <w:p>
            <w:pPr>
              <w:pStyle w:val="null3"/>
            </w:pPr>
            <w:r>
              <w:rPr>
                <w:rFonts w:ascii="仿宋_GB2312" w:hAnsi="仿宋_GB2312" w:cs="仿宋_GB2312" w:eastAsia="仿宋_GB2312"/>
              </w:rPr>
              <w:t>企业综合实力</w:t>
            </w:r>
          </w:p>
        </w:tc>
        <w:tc>
          <w:tcPr>
            <w:tcW w:type="dxa" w:w="2492"/>
          </w:tcPr>
          <w:p>
            <w:pPr>
              <w:pStyle w:val="null3"/>
            </w:pPr>
            <w:r>
              <w:rPr>
                <w:rFonts w:ascii="仿宋_GB2312" w:hAnsi="仿宋_GB2312" w:cs="仿宋_GB2312" w:eastAsia="仿宋_GB2312"/>
              </w:rPr>
              <w:t>1、供应商具有ISO27001信息安全管理体系认证证书得1分。 （提供证书复印件并加盖公章） 2、供应商具有具有CCRC信息安全应急处理服务资质认证证书得1分。（提供证书复印件加盖公章） 3、具有CCRC信息安全风险评估服务资质认证证书得1分。（提供证书复印件加盖公章）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企业综合实力.docx</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投标人自2022年1月1日以来（以合同签订时间为准），承担过类似项目的业绩，每提供一项业绩得1分，最高得4分。 （以投标文件中合同或合同关键页（必须含封面、内容、签订时间、盖章签字页等信息）加盖公章的扫描件为准，未提供不得分）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价格分采用低价优先法计算，即满足招标文件要求且投标报价最低的投标报价为评标基准价，其价格分为满分。其他投标人的价格分统一按照下列公式计算： 投标报价得分=（评标基准价/有效报价）×20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分项报价表.docx</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详见附件：项目理解.docx</w:t>
      </w:r>
    </w:p>
    <w:p>
      <w:pPr>
        <w:pStyle w:val="null3"/>
        <w:ind w:firstLine="960"/>
      </w:pPr>
      <w:r>
        <w:rPr>
          <w:rFonts w:ascii="仿宋_GB2312" w:hAnsi="仿宋_GB2312" w:cs="仿宋_GB2312" w:eastAsia="仿宋_GB2312"/>
        </w:rPr>
        <w:t>详见附件：总体设计方案、系统、数据融合及数据迁移方案.docx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详见附件：质量保障措施及安全保障.docx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详见附件：项目负责人及团队成员.docx</w:t>
      </w:r>
    </w:p>
    <w:p>
      <w:pPr>
        <w:pStyle w:val="null3"/>
        <w:ind w:firstLine="960"/>
      </w:pPr>
      <w:r>
        <w:rPr>
          <w:rFonts w:ascii="仿宋_GB2312" w:hAnsi="仿宋_GB2312" w:cs="仿宋_GB2312" w:eastAsia="仿宋_GB2312"/>
        </w:rPr>
        <w:t>详见附件：售后服务及培训方案.docx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详见附件：投标人认为有必要说明的其他资料.docx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详见附件：服务偏离表.docx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详见附件：项目理解及重难点分析.docx</w:t>
      </w:r>
    </w:p>
    <w:p>
      <w:pPr>
        <w:pStyle w:val="null3"/>
        <w:ind w:firstLine="960"/>
      </w:pPr>
      <w:r>
        <w:rPr>
          <w:rFonts w:ascii="仿宋_GB2312" w:hAnsi="仿宋_GB2312" w:cs="仿宋_GB2312" w:eastAsia="仿宋_GB2312"/>
        </w:rPr>
        <w:t>详见附件：测评服务方案.docx</w:t>
      </w:r>
    </w:p>
    <w:p>
      <w:pPr>
        <w:pStyle w:val="null3"/>
        <w:ind w:firstLine="960"/>
      </w:pPr>
      <w:r>
        <w:rPr>
          <w:rFonts w:ascii="仿宋_GB2312" w:hAnsi="仿宋_GB2312" w:cs="仿宋_GB2312" w:eastAsia="仿宋_GB2312"/>
        </w:rPr>
        <w:t>详见附件：安全保障服务方案.docx</w:t>
      </w:r>
    </w:p>
    <w:p>
      <w:pPr>
        <w:pStyle w:val="null3"/>
        <w:ind w:firstLine="960"/>
      </w:pPr>
      <w:r>
        <w:rPr>
          <w:rFonts w:ascii="仿宋_GB2312" w:hAnsi="仿宋_GB2312" w:cs="仿宋_GB2312" w:eastAsia="仿宋_GB2312"/>
        </w:rPr>
        <w:t>详见附件：进度及质量管理控制措施.docx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详见附件：技术力量配备.docx</w:t>
      </w:r>
    </w:p>
    <w:p>
      <w:pPr>
        <w:pStyle w:val="null3"/>
        <w:ind w:firstLine="960"/>
      </w:pPr>
      <w:r>
        <w:rPr>
          <w:rFonts w:ascii="仿宋_GB2312" w:hAnsi="仿宋_GB2312" w:cs="仿宋_GB2312" w:eastAsia="仿宋_GB2312"/>
        </w:rPr>
        <w:t>详见附件：项目团队人员配备.docx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详见附件：成果交付及合理化建议.docx</w:t>
      </w:r>
    </w:p>
    <w:p>
      <w:pPr>
        <w:pStyle w:val="null3"/>
        <w:ind w:firstLine="960"/>
      </w:pPr>
      <w:r>
        <w:rPr>
          <w:rFonts w:ascii="仿宋_GB2312" w:hAnsi="仿宋_GB2312" w:cs="仿宋_GB2312" w:eastAsia="仿宋_GB2312"/>
        </w:rPr>
        <w:t>详见附件：企业综合实力.docx</w:t>
      </w:r>
    </w:p>
    <w:p>
      <w:pPr>
        <w:pStyle w:val="null3"/>
        <w:ind w:firstLine="960"/>
      </w:pPr>
      <w:r>
        <w:rPr>
          <w:rFonts w:ascii="仿宋_GB2312" w:hAnsi="仿宋_GB2312" w:cs="仿宋_GB2312" w:eastAsia="仿宋_GB2312"/>
        </w:rPr>
        <w:t>详见附件：类似项目业绩.docx</w:t>
      </w:r>
    </w:p>
    <w:p>
      <w:pPr>
        <w:pStyle w:val="null3"/>
        <w:ind w:firstLine="960"/>
      </w:pPr>
      <w:r>
        <w:rPr>
          <w:rFonts w:ascii="仿宋_GB2312" w:hAnsi="仿宋_GB2312" w:cs="仿宋_GB2312" w:eastAsia="仿宋_GB2312"/>
        </w:rPr>
        <w:t>详见附件：投标人认为有必要说明的其他资料.docx</w:t>
      </w:r>
    </w:p>
    <w:p>
      <w:pPr>
        <w:pStyle w:val="null3"/>
        <w:ind w:firstLine="960"/>
      </w:pPr>
      <w:r>
        <w:rPr>
          <w:rFonts w:ascii="仿宋_GB2312" w:hAnsi="仿宋_GB2312" w:cs="仿宋_GB2312" w:eastAsia="仿宋_GB2312"/>
        </w:rPr>
        <w:t>详见附件：保证金缴纳凭证.docx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