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5C357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详细评审</w:t>
      </w:r>
    </w:p>
    <w:p w14:paraId="285A4D2C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0954D1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</w:rPr>
        <w:t>投标人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依据招标文件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【第五章 评标办法】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进行编制，格式自拟，不可缺项漏项。</w:t>
      </w:r>
    </w:p>
    <w:p w14:paraId="591D4974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产品技术参数与性能指标；</w:t>
      </w:r>
    </w:p>
    <w:p w14:paraId="083E3253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产品选型、功能配置等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025BF71A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项目实施方案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57D0A94F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运维服务方案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2ABEFB96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售后服务方案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13463EC0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培训方案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37869A37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质量保证方案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2B4A21D0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应急预案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；</w:t>
      </w:r>
    </w:p>
    <w:p w14:paraId="17236494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default" w:ascii="宋体" w:hAnsi="宋体" w:eastAsia="宋体" w:cs="宋体"/>
          <w:sz w:val="28"/>
          <w:szCs w:val="36"/>
          <w:lang w:val="en-US" w:eastAsia="zh-CN"/>
        </w:rPr>
        <w:t>业绩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（见式样，加盖供应商公章）</w:t>
      </w:r>
    </w:p>
    <w:p w14:paraId="003FB50E">
      <w:pPr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.....</w:t>
      </w:r>
    </w:p>
    <w:p w14:paraId="1F382E6B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注：详细评审内容包括但不限于【第五章 评标办法】中的要求。</w:t>
      </w:r>
    </w:p>
    <w:p w14:paraId="6773D736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6948EAAB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5697FB62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7CE7D13A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17C369EE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  <w:bookmarkStart w:id="0" w:name="_GoBack"/>
      <w:bookmarkEnd w:id="0"/>
    </w:p>
    <w:p w14:paraId="5B11F0A6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0BA9859D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4347C69C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37DBC237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p w14:paraId="02399E99">
      <w:pPr>
        <w:numPr>
          <w:ilvl w:val="0"/>
          <w:numId w:val="0"/>
        </w:numPr>
        <w:rPr>
          <w:rFonts w:hint="default" w:eastAsia="仿宋_GB2312"/>
          <w:lang w:val="en-US" w:eastAsia="zh-CN"/>
        </w:rPr>
      </w:pPr>
    </w:p>
    <w:sectPr>
      <w:pgSz w:w="11905" w:h="16838"/>
      <w:pgMar w:top="1440" w:right="1803" w:bottom="1440" w:left="1803" w:header="850" w:footer="992" w:gutter="0"/>
      <w:cols w:space="0" w:num="1"/>
      <w:rtlGutter w:val="0"/>
      <w:docGrid w:type="lines" w:linePitch="38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E36549"/>
    <w:multiLevelType w:val="singleLevel"/>
    <w:tmpl w:val="2FE365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FF4E43"/>
    <w:rsid w:val="19FF4E43"/>
    <w:rsid w:val="27BD703C"/>
    <w:rsid w:val="43292A5E"/>
    <w:rsid w:val="7CCF757E"/>
    <w:rsid w:val="7E7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142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2025-12-08T09:01:00Z</dcterms:created>
  <dc:creator>德煜公司</dc:creator>
  <cp:lastModifiedBy>德煜公司</cp:lastModifiedBy>
  <dcterms:modified xsi:type="dcterms:W3CDTF">2025-12-10T03:02:14Z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C29353E0313746F3A162F8ADCF122F16_11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