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0FF91">
      <w:pPr>
        <w:pStyle w:val="4"/>
        <w:jc w:val="center"/>
        <w:outlineLvl w:val="1"/>
        <w:rPr>
          <w:rFonts w:hint="default"/>
        </w:rPr>
      </w:pPr>
      <w:r>
        <w:rPr>
          <w:rFonts w:ascii="仿宋_GB2312" w:hAnsi="仿宋_GB2312" w:eastAsia="仿宋_GB2312" w:cs="仿宋_GB2312"/>
          <w:b/>
          <w:sz w:val="36"/>
        </w:rPr>
        <w:t>拟签订合同文本</w:t>
      </w:r>
    </w:p>
    <w:p w14:paraId="3CC7736C">
      <w:pPr>
        <w:pStyle w:val="4"/>
        <w:jc w:val="center"/>
        <w:outlineLvl w:val="1"/>
        <w:rPr>
          <w:rFonts w:hint="default" w:ascii="仿宋" w:hAnsi="仿宋" w:eastAsia="仿宋" w:cs="仿宋"/>
          <w:b/>
          <w:sz w:val="36"/>
        </w:rPr>
      </w:pPr>
      <w:r>
        <w:rPr>
          <w:rFonts w:ascii="仿宋" w:hAnsi="仿宋" w:eastAsia="仿宋" w:cs="仿宋"/>
          <w:b/>
          <w:sz w:val="36"/>
        </w:rPr>
        <w:t>（参考）</w:t>
      </w:r>
    </w:p>
    <w:p w14:paraId="30FCBAE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一、合同内容及金额：即中标人的投标内容及其中标总金额，</w:t>
      </w:r>
      <w:r>
        <w:rPr>
          <w:sz w:val="24"/>
        </w:rPr>
        <w:t>合同总价一次包死，不受市场价变化的影响</w:t>
      </w:r>
      <w:r>
        <w:rPr>
          <w:rFonts w:hint="eastAsia"/>
          <w:sz w:val="24"/>
        </w:rPr>
        <w:t>。</w:t>
      </w:r>
    </w:p>
    <w:p w14:paraId="1ACDA57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二、产品技术规格、数量：即交货的产品技术规格、材料、数量与</w:t>
      </w:r>
      <w:r>
        <w:rPr>
          <w:rFonts w:hint="eastAsia"/>
          <w:sz w:val="24"/>
          <w:lang w:eastAsia="zh-CN"/>
        </w:rPr>
        <w:t>响应文件</w:t>
      </w:r>
      <w:r>
        <w:rPr>
          <w:rFonts w:hint="eastAsia"/>
          <w:sz w:val="24"/>
        </w:rPr>
        <w:t>所指明的，或者与本合同所指明的产品技术规格及型号相一致。</w:t>
      </w:r>
    </w:p>
    <w:p w14:paraId="16FC10C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三、知识产权：即中标人应保证采购人在使用中标货物时，不承担任何涉及知识产权法律诉讼的责任。</w:t>
      </w:r>
    </w:p>
    <w:p w14:paraId="7BFC431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四、服务期：文件要求的时间。 </w:t>
      </w:r>
    </w:p>
    <w:p w14:paraId="04CF218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中标人未征得采购人同意和谅解而单方面延迟交货，将按违约终止合同。</w:t>
      </w:r>
    </w:p>
    <w:p w14:paraId="0D61F06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中标人遇到可能妨碍按时交付和提供服务的情况，应当及时以书面形式通知采购人，说明原由、拖延的期限等；采购人、采购代理机构在收到通知后，尽快进行情况评估并确定是否通过修改合同，酌情延长交付时间或者通过协商加收误期赔偿金。</w:t>
      </w:r>
    </w:p>
    <w:p w14:paraId="05BAE41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五、服务地点：渭南职业技术学院指定地点。</w:t>
      </w:r>
    </w:p>
    <w:p w14:paraId="78DAC2AC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六、结算方式：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按照文件要求。</w:t>
      </w:r>
    </w:p>
    <w:p w14:paraId="6927E9F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5A983F9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八、运输：中标人可根据供货期、运输条件自行选择运输方式（另有规定的除外），承担一切运输费用。</w:t>
      </w:r>
    </w:p>
    <w:p w14:paraId="248155E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九、技术保障：中标人应随同货物提供相应的中文技术文件（包括产品合格证、装箱清单、操作手册、使用说明、检测报告、维护手册、服务指南等资料）,现场安装、调试、试运行技术保障服务。</w:t>
      </w:r>
    </w:p>
    <w:p w14:paraId="1D07F83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十、人员培训：提供免费培训，人数、地点按采购人的要求约定。</w:t>
      </w:r>
    </w:p>
    <w:p w14:paraId="0AC0A1B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十一、质量保证</w:t>
      </w:r>
    </w:p>
    <w:p w14:paraId="7F66C0D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1、中标人使用的原材料应提供清单，并在到货24小时内通知采购人代表检验核实（具体方式在合同中明确）。</w:t>
      </w:r>
    </w:p>
    <w:p w14:paraId="6FF6377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、中标人应当保证所供货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 w14:paraId="75CD605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3、在质保期内，如果发现货物的质量、规格、技术指标等存在与合同中任何一项不符，采购人应在最短时间内，以书面形式向中标人提出索赔。同时通告采购代理机构。</w:t>
      </w:r>
    </w:p>
    <w:p w14:paraId="36A002A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十二、采购项目执行内容需要调整时，经采购人同意后，可以对相应的原材料进行调整，并协商确定价格差额计算方法和负担办法。</w:t>
      </w:r>
    </w:p>
    <w:p w14:paraId="6CEA81F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十三、产品设计变更</w:t>
      </w:r>
    </w:p>
    <w:p w14:paraId="7E08672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511604C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十四、检验：在交货前，制造商应当对产品的质量、规格、型号、数量等进行准确而全面的检验，出具合格证并封装；货物送达指定地点后，中标人、采购人须在约定的时间和地点共同开箱检验。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1801AB1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十五、验收：通过检验的货物方可进行安装、调试、达到使用条件时由采购人负责组织验收或者邀请有关专家、质检机构、采购代理机构共同进行验收；验收合格须交接项目实施的全部资料，并填写政府采购项目验收报告单。验收须以合同、招</w:t>
      </w:r>
      <w:r>
        <w:rPr>
          <w:rFonts w:hint="eastAsia"/>
          <w:sz w:val="24"/>
          <w:lang w:eastAsia="zh-CN"/>
        </w:rPr>
        <w:t>响应文件</w:t>
      </w:r>
      <w:r>
        <w:rPr>
          <w:rFonts w:hint="eastAsia"/>
          <w:sz w:val="24"/>
        </w:rPr>
        <w:t>、澄清、及国家相应的标准、规范等为依据。</w:t>
      </w:r>
    </w:p>
    <w:p w14:paraId="45E2E49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十六、合同争议的解决：合同执行中发生争议的，当事人双方应协商解决，协商达不成一致时，可向人民法院提请诉讼。</w:t>
      </w:r>
    </w:p>
    <w:p w14:paraId="3FDC2AC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十七、在发生不可抗力情况下的应对措施和解决办法。</w:t>
      </w:r>
    </w:p>
    <w:p w14:paraId="7AF2205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十八、合同一经签订，不得擅自变更、中止或者终止合同。对确需变更、调整或者中止、终止合同的，应按规定履行相应的手续。</w:t>
      </w:r>
    </w:p>
    <w:p w14:paraId="0EA5C14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十九、违约责任：依据《中华人民共和国民法典》、《中华人民共和国政府采购法》的相关条款和本合同约定，中标人未全面履行合同义务或者发生违约，采购人会同采购代理机构有权终止合同，依法向中标人要求经济索赔，并报请政府采购监督管理机关进行相应的行政处罚。采购人违约的，应当赔偿给中标人造成的经济损失。</w:t>
      </w:r>
    </w:p>
    <w:p w14:paraId="3DC0EF8A">
      <w:pPr>
        <w:tabs>
          <w:tab w:val="left" w:pos="980"/>
        </w:tabs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二十、本合同一式陆份，甲方、乙方、采购代理机构各执贰份。签字盖章后生效，合同执行完毕自动失效。（合同的服务承诺则长期有效）。</w:t>
      </w:r>
    </w:p>
    <w:p w14:paraId="141C8C97">
      <w:pPr>
        <w:pStyle w:val="4"/>
        <w:rPr>
          <w:rFonts w:hint="default"/>
        </w:rPr>
      </w:pPr>
      <w:r>
        <w:rPr>
          <w:sz w:val="24"/>
        </w:rPr>
        <w:t>二十一、其它（在合同中具体明确）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73FA266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452D40"/>
    <w:rsid w:val="2945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2025-12-16T02:43:00Z</dcterms:created>
  <dc:creator>rq</dc:creator>
  <cp:lastModifiedBy>rq</cp:lastModifiedBy>
  <dcterms:modified xsi:type="dcterms:W3CDTF">2025-12-16T02:43:31Z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F49F3D444D754AE38CA2A20B0435BD5C_11</vt:lpwstr>
  </property>
  <property fmtid="{D5CDD505-2E9C-101B-9397-08002B2CF9AE}" pid="4" name="KSOTemplateDocerSaveRecord">
    <vt:lpwstr>eyJoZGlkIjoiYWMzOGEyM2JhNDIyMWNjZTJhZTY0M2ZhNjhhYjc0MWYiLCJ1c2VySWQiOiI0MDgxNjMwMjcifQ==</vt:lpwstr>
  </property>
</Properties>
</file>