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版本号：ZCSP-渭南市-2025-0089920251212001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渭南市“十五五”综合交通运输发展规划编制服务第三方服务机构项目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ZCSP-渭南市-2025-00899</w:t>
      </w:r>
      <w:r>
        <w:br/>
      </w:r>
      <w:r>
        <w:br/>
      </w:r>
      <w:r>
        <w:br/>
      </w:r>
    </w:p>
    <w:p>
      <w:pPr>
        <w:pStyle w:val="null3"/>
        <w:jc w:val="center"/>
        <w:outlineLvl w:val="2"/>
      </w:pPr>
      <w:r>
        <w:rPr>
          <w:rFonts w:ascii="仿宋_GB2312" w:hAnsi="仿宋_GB2312" w:cs="仿宋_GB2312" w:eastAsia="仿宋_GB2312"/>
          <w:sz w:val="28"/>
          <w:b/>
        </w:rPr>
        <w:t>渭南市交通运输局</w:t>
      </w:r>
    </w:p>
    <w:p>
      <w:pPr>
        <w:pStyle w:val="null3"/>
        <w:jc w:val="center"/>
        <w:outlineLvl w:val="2"/>
      </w:pPr>
      <w:r>
        <w:rPr>
          <w:rFonts w:ascii="仿宋_GB2312" w:hAnsi="仿宋_GB2312" w:cs="仿宋_GB2312" w:eastAsia="仿宋_GB2312"/>
          <w:sz w:val="28"/>
          <w:b/>
        </w:rPr>
        <w:t>陕西金合建设项目管理有限公司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陕西金合建设项目管理有限公司</w:t>
      </w:r>
      <w:r>
        <w:rPr>
          <w:rFonts w:ascii="仿宋_GB2312" w:hAnsi="仿宋_GB2312" w:cs="仿宋_GB2312" w:eastAsia="仿宋_GB2312"/>
        </w:rPr>
        <w:t>（以下简称“代理机构”）受</w:t>
      </w:r>
      <w:r>
        <w:rPr>
          <w:rFonts w:ascii="仿宋_GB2312" w:hAnsi="仿宋_GB2312" w:cs="仿宋_GB2312" w:eastAsia="仿宋_GB2312"/>
        </w:rPr>
        <w:t>渭南市交通运输局</w:t>
      </w:r>
      <w:r>
        <w:rPr>
          <w:rFonts w:ascii="仿宋_GB2312" w:hAnsi="仿宋_GB2312" w:cs="仿宋_GB2312" w:eastAsia="仿宋_GB2312"/>
        </w:rPr>
        <w:t>委托，拟对</w:t>
      </w:r>
      <w:r>
        <w:rPr>
          <w:rFonts w:ascii="仿宋_GB2312" w:hAnsi="仿宋_GB2312" w:cs="仿宋_GB2312" w:eastAsia="仿宋_GB2312"/>
        </w:rPr>
        <w:t>渭南市“十五五”综合交通运输发展规划编制服务第三方服务机构项目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ZCSP-渭南市-2025-00899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渭南市“十五五”综合交通运输发展规划编制服务第三方服务机构项目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为加快构建渭南市现代化综合交通体系，系统谋划未来五年全市综合交通运输发展路径，现委托第三方服务公司开展渭南市“十五五”综合交通运输发展规划编制工作，配合完成汇报和审查等有关工作。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连续三个月的本单位社保缴纳证明）；</w:t>
      </w:r>
    </w:p>
    <w:p>
      <w:pPr>
        <w:pStyle w:val="null3"/>
      </w:pPr>
      <w:r>
        <w:rPr>
          <w:rFonts w:ascii="仿宋_GB2312" w:hAnsi="仿宋_GB2312" w:cs="仿宋_GB2312" w:eastAsia="仿宋_GB2312"/>
        </w:rPr>
        <w:t>2、信用信息：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p>
      <w:pPr>
        <w:pStyle w:val="null3"/>
      </w:pPr>
      <w:r>
        <w:rPr>
          <w:rFonts w:ascii="仿宋_GB2312" w:hAnsi="仿宋_GB2312" w:cs="仿宋_GB2312" w:eastAsia="仿宋_GB2312"/>
        </w:rPr>
        <w:t>3、联合体投标：本项目不接受联合体投标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渭南市东风大街中段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李佳伟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0913-2118079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陕西金合建设项目管理有限公司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陕西省渭南市临渭区渭南市朝阳大街审计大楼八层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0913-2028188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开户名称：陕西金合建设项目管理有限公司</w:t>
            </w:r>
          </w:p>
          <w:p>
            <w:pPr>
              <w:pStyle w:val="null3"/>
            </w:pPr>
            <w:r>
              <w:rPr>
                <w:rFonts w:ascii="仿宋_GB2312" w:hAnsi="仿宋_GB2312" w:cs="仿宋_GB2312" w:eastAsia="仿宋_GB2312"/>
              </w:rPr>
              <w:t>开户银行：长安银行股份有限公司渭南分行</w:t>
            </w:r>
          </w:p>
          <w:p>
            <w:pPr>
              <w:pStyle w:val="null3"/>
            </w:pPr>
            <w:r>
              <w:rPr>
                <w:rFonts w:ascii="仿宋_GB2312" w:hAnsi="仿宋_GB2312" w:cs="仿宋_GB2312" w:eastAsia="仿宋_GB2312"/>
              </w:rPr>
              <w:t>银行账号：60001015201090000920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以及国家发改价格〔2011〕534号文件”的标准计取，按照成交金额为基数计算采购代理服务费，由成交供应商一次性支付代理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渭南市交通运输局</w:t>
      </w:r>
      <w:r>
        <w:rPr>
          <w:rFonts w:ascii="仿宋_GB2312" w:hAnsi="仿宋_GB2312" w:cs="仿宋_GB2312" w:eastAsia="仿宋_GB2312"/>
        </w:rPr>
        <w:t>和</w:t>
      </w:r>
      <w:r>
        <w:rPr>
          <w:rFonts w:ascii="仿宋_GB2312" w:hAnsi="仿宋_GB2312" w:cs="仿宋_GB2312" w:eastAsia="仿宋_GB2312"/>
        </w:rPr>
        <w:t>陕西金合建设项目管理有限公司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陕西金合建设项目管理有限公司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陕西金合建设项目管理有限公司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1、质量标准：成果文件及配套服务达到国家及行业验收合格标准。 2、成果文件必须通过专家评审和相关行业主管部门审批。 3、本项目由采购人及相关部门定期对项目进行阶段性验收。 4、验收标准：按双方协议、项目检查情况等综合指标进行验收,各项指标均应符合验收标准及要求。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陕西金合建设项目管理有限公司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联系人：陕西金合建设项目管理有限公司</w:t>
      </w:r>
    </w:p>
    <w:p>
      <w:pPr>
        <w:pStyle w:val="null3"/>
      </w:pPr>
      <w:r>
        <w:rPr>
          <w:rFonts w:ascii="仿宋_GB2312" w:hAnsi="仿宋_GB2312" w:cs="仿宋_GB2312" w:eastAsia="仿宋_GB2312"/>
        </w:rPr>
        <w:t>联系电话：0913-2028188</w:t>
      </w:r>
    </w:p>
    <w:p>
      <w:pPr>
        <w:pStyle w:val="null3"/>
      </w:pPr>
      <w:r>
        <w:rPr>
          <w:rFonts w:ascii="仿宋_GB2312" w:hAnsi="仿宋_GB2312" w:cs="仿宋_GB2312" w:eastAsia="仿宋_GB2312"/>
        </w:rPr>
        <w:t>地址：陕西省渭南市临渭区渭南市朝阳大街审计大楼八层</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为加快构建渭南市现代化综合交通体系，系统谋划未来五年全市综合交通运输发展路径，现委托第三方服务公司开展渭南市“十五五”综合交通运输发展规划编制工作，配合完成汇报和审查等有关工作。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渭南市“十五五”综合交通运输发展规划编制服务第三方服务机构项目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标的名称：渭南市“十五五”综合交通运输发展规划编制服务第三方服务机构项目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jc w:val="both"/>
            </w:pPr>
            <w:r>
              <w:rPr>
                <w:rFonts w:ascii="仿宋_GB2312" w:hAnsi="仿宋_GB2312" w:cs="仿宋_GB2312" w:eastAsia="仿宋_GB2312"/>
                <w:sz w:val="21"/>
              </w:rPr>
              <w:t>1.项目名称：</w:t>
            </w:r>
            <w:r>
              <w:rPr>
                <w:rFonts w:ascii="仿宋_GB2312" w:hAnsi="仿宋_GB2312" w:cs="仿宋_GB2312" w:eastAsia="仿宋_GB2312"/>
                <w:sz w:val="21"/>
              </w:rPr>
              <w:t>渭南市</w:t>
            </w:r>
            <w:r>
              <w:rPr>
                <w:rFonts w:ascii="仿宋_GB2312" w:hAnsi="仿宋_GB2312" w:cs="仿宋_GB2312" w:eastAsia="仿宋_GB2312"/>
                <w:sz w:val="21"/>
              </w:rPr>
              <w:t>“十五五”综合交通运输发展规划编制服务第三方服务机构项目</w:t>
            </w:r>
          </w:p>
          <w:p>
            <w:pPr>
              <w:pStyle w:val="null3"/>
              <w:jc w:val="both"/>
            </w:pPr>
            <w:r>
              <w:rPr>
                <w:rFonts w:ascii="仿宋_GB2312" w:hAnsi="仿宋_GB2312" w:cs="仿宋_GB2312" w:eastAsia="仿宋_GB2312"/>
                <w:sz w:val="21"/>
              </w:rPr>
              <w:t>2.项目依据：</w:t>
            </w:r>
            <w:r>
              <w:rPr>
                <w:rFonts w:ascii="仿宋_GB2312" w:hAnsi="仿宋_GB2312" w:cs="仿宋_GB2312" w:eastAsia="仿宋_GB2312"/>
                <w:sz w:val="21"/>
              </w:rPr>
              <w:t>为加快构建渭南市现代化综合交通体系，系统谋划未来五年全市综合交通运输发展路径，现委托第三方服务公司开展渭南市</w:t>
            </w:r>
            <w:r>
              <w:rPr>
                <w:rFonts w:ascii="仿宋_GB2312" w:hAnsi="仿宋_GB2312" w:cs="仿宋_GB2312" w:eastAsia="仿宋_GB2312"/>
                <w:sz w:val="21"/>
              </w:rPr>
              <w:t>“十五五”综合交通运输发展规划编制工作，配合完成汇报和审查等有关工作</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二、服务内容</w:t>
            </w:r>
          </w:p>
          <w:p>
            <w:pPr>
              <w:pStyle w:val="null3"/>
              <w:jc w:val="both"/>
            </w:pPr>
            <w:r>
              <w:rPr>
                <w:rFonts w:ascii="仿宋_GB2312" w:hAnsi="仿宋_GB2312" w:cs="仿宋_GB2312" w:eastAsia="仿宋_GB2312"/>
                <w:sz w:val="21"/>
              </w:rPr>
              <w:t>1.项目内容</w:t>
            </w:r>
          </w:p>
          <w:p>
            <w:pPr>
              <w:pStyle w:val="null3"/>
              <w:jc w:val="both"/>
            </w:pPr>
            <w:r>
              <w:rPr>
                <w:rFonts w:ascii="仿宋_GB2312" w:hAnsi="仿宋_GB2312" w:cs="仿宋_GB2312" w:eastAsia="仿宋_GB2312"/>
                <w:sz w:val="21"/>
              </w:rPr>
              <w:t>开展渭南市</w:t>
            </w:r>
            <w:r>
              <w:rPr>
                <w:rFonts w:ascii="仿宋_GB2312" w:hAnsi="仿宋_GB2312" w:cs="仿宋_GB2312" w:eastAsia="仿宋_GB2312"/>
                <w:sz w:val="21"/>
              </w:rPr>
              <w:t>“十五五”综合交通运输发展规划编制工作，配合完成汇报、报批和审查等有关工作。</w:t>
            </w:r>
          </w:p>
          <w:p>
            <w:pPr>
              <w:pStyle w:val="null3"/>
              <w:jc w:val="both"/>
            </w:pPr>
            <w:r>
              <w:rPr>
                <w:rFonts w:ascii="仿宋_GB2312" w:hAnsi="仿宋_GB2312" w:cs="仿宋_GB2312" w:eastAsia="仿宋_GB2312"/>
                <w:sz w:val="21"/>
              </w:rPr>
              <w:t>2.具体任务</w:t>
            </w:r>
          </w:p>
          <w:p>
            <w:pPr>
              <w:pStyle w:val="null3"/>
              <w:jc w:val="both"/>
            </w:pPr>
            <w:r>
              <w:rPr>
                <w:rFonts w:ascii="仿宋_GB2312" w:hAnsi="仿宋_GB2312" w:cs="仿宋_GB2312" w:eastAsia="仿宋_GB2312"/>
                <w:sz w:val="21"/>
              </w:rPr>
              <w:t>开展渭南市</w:t>
            </w:r>
            <w:r>
              <w:rPr>
                <w:rFonts w:ascii="仿宋_GB2312" w:hAnsi="仿宋_GB2312" w:cs="仿宋_GB2312" w:eastAsia="仿宋_GB2312"/>
                <w:sz w:val="21"/>
              </w:rPr>
              <w:t>“十五五”综合交通运输发展规划编制工作，配合完成汇报、报批和审查等有关工作。</w:t>
            </w:r>
          </w:p>
          <w:p>
            <w:pPr>
              <w:pStyle w:val="null3"/>
              <w:jc w:val="both"/>
            </w:pPr>
            <w:r>
              <w:rPr>
                <w:rFonts w:ascii="仿宋_GB2312" w:hAnsi="仿宋_GB2312" w:cs="仿宋_GB2312" w:eastAsia="仿宋_GB2312"/>
                <w:sz w:val="21"/>
              </w:rPr>
              <w:t>规划要全面总结</w:t>
            </w:r>
            <w:r>
              <w:rPr>
                <w:rFonts w:ascii="仿宋_GB2312" w:hAnsi="仿宋_GB2312" w:cs="仿宋_GB2312" w:eastAsia="仿宋_GB2312"/>
                <w:sz w:val="21"/>
              </w:rPr>
              <w:t>“十四五”发展成效，立足新发展阶段，聚焦综合运输大通道建设目标，统筹铁路、公路、民航、水运多方式协同发展，着力破解瓶颈制约，优化网络布局，提升服务品质，为打造西安—渭南一体化发展样板、建设黄河中游生态保护和高质量发展核心示范区提供坚实交通保障。</w:t>
            </w:r>
          </w:p>
          <w:p>
            <w:pPr>
              <w:pStyle w:val="null3"/>
              <w:jc w:val="both"/>
            </w:pPr>
            <w:r>
              <w:rPr>
                <w:rFonts w:ascii="仿宋_GB2312" w:hAnsi="仿宋_GB2312" w:cs="仿宋_GB2312" w:eastAsia="仿宋_GB2312"/>
                <w:sz w:val="21"/>
              </w:rPr>
              <w:t>规划要科学系统制定</w:t>
            </w:r>
            <w:r>
              <w:rPr>
                <w:rFonts w:ascii="仿宋_GB2312" w:hAnsi="仿宋_GB2312" w:cs="仿宋_GB2312" w:eastAsia="仿宋_GB2312"/>
                <w:sz w:val="21"/>
              </w:rPr>
              <w:t>“十五五”时期渭南市综合交通运输发展的总体思路、重点任务与实施保障，形成指导全市交通基础设施建设、运输服务升级、智慧绿色转型及行业治理现代化的纲领性文件，将综合立体交通网规划的愿景蓝图转化为未来五年的实际行动。</w:t>
            </w:r>
          </w:p>
          <w:p>
            <w:pPr>
              <w:pStyle w:val="null3"/>
              <w:jc w:val="both"/>
            </w:pPr>
            <w:r>
              <w:rPr>
                <w:rFonts w:ascii="仿宋_GB2312" w:hAnsi="仿宋_GB2312" w:cs="仿宋_GB2312" w:eastAsia="仿宋_GB2312"/>
                <w:sz w:val="21"/>
                <w:b/>
              </w:rPr>
              <w:t>三、技术要求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严格按照国家技术规范、标准、规程及甲方提出的规划及方案编制要求，进行规划及方案编制。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保质保量、按时提交以合同所规定的内容、进度要求向甲方交付资料及成果文件。</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解答甲方提出的问题及合同责任内的服务，做出方案调整、修改等工作。</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负责按照甲方审查及专家评审意见对报告进行修改，负责最后的出版印刷。</w:t>
            </w:r>
          </w:p>
          <w:p>
            <w:pPr>
              <w:pStyle w:val="null3"/>
              <w:jc w:val="both"/>
            </w:pPr>
            <w:r>
              <w:rPr>
                <w:rFonts w:ascii="仿宋_GB2312" w:hAnsi="仿宋_GB2312" w:cs="仿宋_GB2312" w:eastAsia="仿宋_GB2312"/>
                <w:sz w:val="21"/>
              </w:rPr>
              <w:t>5.质量标准：成果文件及配套服务达到国家及行业验收合格标准。</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需执行的国家相关标准、行业标准、地方标准或者其他标准、规范标准</w:t>
            </w:r>
          </w:p>
          <w:p>
            <w:pPr>
              <w:pStyle w:val="null3"/>
              <w:jc w:val="both"/>
            </w:pPr>
            <w:r>
              <w:rPr>
                <w:rFonts w:ascii="仿宋_GB2312" w:hAnsi="仿宋_GB2312" w:cs="仿宋_GB2312" w:eastAsia="仿宋_GB2312"/>
                <w:sz w:val="21"/>
              </w:rPr>
              <w:t>供应商在服务工作中必须使用下述标准、规范（不限于）：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《中华人民共和国公路法》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《中华人民共和国环境影响评价法》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《中华人民共和国城乡规划法》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《政府投资条例》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《建设项目环境保护管理条例》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《陕西省政府投资管理办法》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《工程咨询</w:t>
            </w:r>
            <w:r>
              <w:rPr>
                <w:rFonts w:ascii="仿宋_GB2312" w:hAnsi="仿宋_GB2312" w:cs="仿宋_GB2312" w:eastAsia="仿宋_GB2312"/>
                <w:sz w:val="21"/>
              </w:rPr>
              <w:t>基本术语》</w:t>
            </w:r>
            <w:r>
              <w:rPr>
                <w:rFonts w:ascii="仿宋_GB2312" w:hAnsi="仿宋_GB2312" w:cs="仿宋_GB2312" w:eastAsia="仿宋_GB2312"/>
                <w:sz w:val="21"/>
              </w:rPr>
              <w:t>GB/Z 40846-2021</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《交通运输企业安全生产标准化建设基本规范》</w:t>
            </w:r>
            <w:r>
              <w:rPr>
                <w:rFonts w:ascii="仿宋_GB2312" w:hAnsi="仿宋_GB2312" w:cs="仿宋_GB2312" w:eastAsia="仿宋_GB2312"/>
                <w:sz w:val="21"/>
              </w:rPr>
              <w:t>JT/T 1180.19-2018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《交通运输企业安全生产标准化建设规范》</w:t>
            </w:r>
            <w:r>
              <w:rPr>
                <w:rFonts w:ascii="仿宋_GB2312" w:hAnsi="仿宋_GB2312" w:cs="仿宋_GB2312" w:eastAsia="仿宋_GB2312"/>
                <w:sz w:val="21"/>
              </w:rPr>
              <w:t>DB61/T 1447.1-2021</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《道路交通安全管理体系</w:t>
            </w:r>
            <w:r>
              <w:rPr>
                <w:rFonts w:ascii="仿宋_GB2312" w:hAnsi="仿宋_GB2312" w:cs="仿宋_GB2312" w:eastAsia="仿宋_GB2312"/>
                <w:sz w:val="21"/>
              </w:rPr>
              <w:t>要求及使用指南》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《道路交通安全管理规划编制指南》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w:t>
            </w:r>
            <w:r>
              <w:rPr>
                <w:rFonts w:ascii="仿宋_GB2312" w:hAnsi="仿宋_GB2312" w:cs="仿宋_GB2312" w:eastAsia="仿宋_GB2312"/>
                <w:sz w:val="21"/>
              </w:rPr>
              <w:t>《城市基础设施管理》</w:t>
            </w:r>
            <w:r>
              <w:rPr>
                <w:rFonts w:ascii="仿宋_GB2312" w:hAnsi="仿宋_GB2312" w:cs="仿宋_GB2312" w:eastAsia="仿宋_GB2312"/>
                <w:sz w:val="21"/>
              </w:rPr>
              <w:t>GB/T 32555-2016</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《高速公路绿化设计规范》</w:t>
            </w:r>
            <w:r>
              <w:rPr>
                <w:rFonts w:ascii="仿宋_GB2312" w:hAnsi="仿宋_GB2312" w:cs="仿宋_GB2312" w:eastAsia="仿宋_GB2312"/>
                <w:sz w:val="21"/>
              </w:rPr>
              <w:t>DB61/T 1056-2016</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1"/>
              </w:rPr>
              <w:t>其他相关法律、法规和技术规范。</w:t>
            </w:r>
          </w:p>
          <w:p>
            <w:pPr>
              <w:pStyle w:val="null3"/>
              <w:jc w:val="both"/>
            </w:pPr>
            <w:r>
              <w:rPr>
                <w:rFonts w:ascii="仿宋_GB2312" w:hAnsi="仿宋_GB2312" w:cs="仿宋_GB2312" w:eastAsia="仿宋_GB2312"/>
                <w:sz w:val="21"/>
                <w:b/>
              </w:rPr>
              <w:t>四、其他要求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1）在服务范围内按工作内容和要求制定详细的方案，方案科学、合理、可靠。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2）人员配备合理。有针对本项目的专项服务小组，项目负责人、工作人员分工明确（应有具体成员名单，包括姓名、工作职责等）。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3）有各类突发事件的应急预案和措施，有明确具体的承诺。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4）供应商所拟派的工作人员，若在服务期间发生任何伤害，采购人概不负责，由供应商自行处理。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应积极履行合同义务，应按照合同约定及双方另行确定的工作计划及交付时间交付项目初步成果及最终成果，采购人配合提供项目规划所需的相关资料和素材（所需资料以供应商向采购人提出书面资料清单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根据项目实施情况配置人员。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供应商根据本项目实施情况，自行提供。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2025年12月15日-2027年12月15日。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1、质量标准：成果文件及配套服务达到国家及行业验收合格标准。 2、成果文件必须通过专家评审和相关行业主管部门审批。 3、本项目由采购人及相关部门定期对项目进行阶段性验收。 4、验收标准：按双方协议、项目检查情况等综合指标进行验收,各项指标均应符合验收标准及要求。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合同签订后，乙方完成《渭南市“十五五”综合交通运输发展规划》初步成果</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通过甲方审查且正式印发后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按磋商文件要求及合同条款约定执行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 （1）以转账、支票、汇票等方式递交磋商保证金的，须从供应商户名支付，如从个人户名或非供应商户名支付，将被拒绝，视为自动放弃投标权利；磋商保证金以采购代理机构到账凭证为准，供应商需更换交纳凭证，由采购代理机构统一提供保证金收据；供应商应在磋商文件中附收据复印件。 （2）以保函形式交纳磋商保证金的，供应商应在响应截止时间前持保函原件至代理机构财务处换取收据；供应商应在磋商文件中附收据复印件。保函必须由具有开具投标保函资格的单位开具；若供应商违约，开具保函单位承担连带责任； （3）磋商保证金的提交金额、时间不满足磋商文件要求的，投标无效； （4）未按指定账户提交的，我公司将退回，供应商须在文件递交截止时间前按照指定账户再次提交。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具有独立承担民事责任能力的法人、事业法人、其他组织或自然人。企业法人应提供合法有效的标识有统一社会信用代码营业执照；事业单位法人证书；其他组织应提供合法登记证明文件；自然人应提供身份证。 （2）提供具备履行合同所必需的设备和专业技术能力的承诺； （3）有依法缴纳税收的记录，提供供应商2024年11月以来任意一个月的依法缴纳税收凭据或完税证明（依法免税的供应商应提供相关文件证明）； （4）有依法缴纳社会保障资金的记录，提供供应商2024年11月以来任意一个月的社会保障资金缴存单据或社保机构开具的社会保险参保缴费情况证明（依法不需要缴纳社会保障资金的供应商应提供相关文件证明）； （5）提供参加政府采购活动前3年内在经营活动中没有重大违法记录的书面声明；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提供2024年度经审计的财务报告（至少包括资产负债表和利润表）；成立时间至提交响应文件截止时间不足一年的可提供成立后任意时段的资产负债表或磋商前六个月内其基本账户银行出具的资信证明或财政部门认可的政府采购专业担保机构出具的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单位负责人为同一人或者存在直接控股、管理关系的不同供应商按提交响应文件，按递交顺序只接受第一家响应文件，其他供应商按无效标处理。</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明书并与营业执照上信息一致。法定代表人或负责人授权代表参加磋商的，须出具法定代表人或负责人授权委托书（附授权代表身份证复印件及响应文件递交截止时间前连续三个月的本单位社保缴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磋商响应截止日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有法定代表人或委托代理人签字(或盖章)并加盖单位章</w:t>
            </w:r>
          </w:p>
        </w:tc>
        <w:tc>
          <w:tcPr>
            <w:tcW w:type="dxa" w:w="1661"/>
          </w:tcPr>
          <w:p>
            <w:pPr>
              <w:pStyle w:val="null3"/>
            </w:pPr>
            <w:r>
              <w:rPr>
                <w:rFonts w:ascii="仿宋_GB2312" w:hAnsi="仿宋_GB2312" w:cs="仿宋_GB2312" w:eastAsia="仿宋_GB2312"/>
              </w:rPr>
              <w:t>业绩.docx 磋商保证金.docx 服务内容及服务邀请应答表 中小企业声明函 商务应答表 报价表 响应文件封面 供应商应提交的相关资格证明材料.docx 残疾人福利性单位声明函 标的清单 项目人员配备.docx 响应函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响应文件格式与内容</w:t>
            </w:r>
          </w:p>
        </w:tc>
        <w:tc>
          <w:tcPr>
            <w:tcW w:type="dxa" w:w="3322"/>
          </w:tcPr>
          <w:p>
            <w:pPr>
              <w:pStyle w:val="null3"/>
            </w:pPr>
            <w:r>
              <w:rPr>
                <w:rFonts w:ascii="仿宋_GB2312" w:hAnsi="仿宋_GB2312" w:cs="仿宋_GB2312" w:eastAsia="仿宋_GB2312"/>
              </w:rPr>
              <w:t>符合磋商文件及第七章“响应文件格式”的要求</w:t>
            </w:r>
          </w:p>
        </w:tc>
        <w:tc>
          <w:tcPr>
            <w:tcW w:type="dxa" w:w="1661"/>
          </w:tcPr>
          <w:p>
            <w:pPr>
              <w:pStyle w:val="null3"/>
            </w:pPr>
            <w:r>
              <w:rPr>
                <w:rFonts w:ascii="仿宋_GB2312" w:hAnsi="仿宋_GB2312" w:cs="仿宋_GB2312" w:eastAsia="仿宋_GB2312"/>
              </w:rPr>
              <w:t>业绩.docx 磋商保证金.docx 服务内容及服务邀请应答表 中小企业声明函 商务应答表 响应文件封面 供应商应提交的相关资格证明材料.docx 残疾人福利性单位声明函 标的清单 项目人员配备.docx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报价唯一与首次报价</w:t>
            </w:r>
          </w:p>
        </w:tc>
        <w:tc>
          <w:tcPr>
            <w:tcW w:type="dxa" w:w="3322"/>
          </w:tcPr>
          <w:p>
            <w:pPr>
              <w:pStyle w:val="null3"/>
            </w:pPr>
            <w:r>
              <w:rPr>
                <w:rFonts w:ascii="仿宋_GB2312" w:hAnsi="仿宋_GB2312" w:cs="仿宋_GB2312" w:eastAsia="仿宋_GB2312"/>
              </w:rPr>
              <w:t>只能有一个有效报价且首次报价未超过最高限价。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成果文件及配套服务达到国家及行业验收合格标准。</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需提供缴纳凭证</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内容至少包括：①项目背景调查及解读；②总体工作思路。 评审标准：项目理解各部分内容全面详细、阐述条理清晰详尽、符合本项目采购需求得7分，每缺一项内容扣3.5分；方案内容每有1处缺陷的扣1分，扣完为止。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内容至少包括①重、难点分析；②风险点分析；③解决措施等。 评审标准：重点、难点分析及解决措施各部分内容全面详细、阐述条理清晰详尽、符合本项目采购需求得9分，每缺一项内容扣3分；方案内容每有1处缺陷的扣1分，扣完为止。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规划编制方案</w:t>
            </w:r>
          </w:p>
        </w:tc>
        <w:tc>
          <w:tcPr>
            <w:tcW w:type="dxa" w:w="2492"/>
          </w:tcPr>
          <w:p>
            <w:pPr>
              <w:pStyle w:val="null3"/>
            </w:pPr>
            <w:r>
              <w:rPr>
                <w:rFonts w:ascii="仿宋_GB2312" w:hAnsi="仿宋_GB2312" w:cs="仿宋_GB2312" w:eastAsia="仿宋_GB2312"/>
              </w:rPr>
              <w:t>内容至少包括①总体工作思路；②项目任务目标阐述；③规划编制大纲；④技术标准和方法；⑤主要任务分析；⑥规划方案论证与完善；⑦报告成果提交及报批方案。 评审标准：服务方案内容各部分内容全面详细、阐述条理清晰详尽、符合本项目采购需求得21分，每缺一项内容扣3分；方案内容每有1处缺陷的扣1分，扣完为止。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内容至少包括①质量目标；②质量控制要点；③质量责任制度；④检查审核机制；⑤人员能力培训及提升；⑥技术与外部支持资源保障。 评审标准：质量保证措施各部分内容全面详细、阐述条理清晰详尽、符合本项目采购需求得6分，每缺一项内容扣1分；方案内容每有1处缺陷的扣1分，扣完为止。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进度保证措施及后续服务保障</w:t>
            </w:r>
          </w:p>
        </w:tc>
        <w:tc>
          <w:tcPr>
            <w:tcW w:type="dxa" w:w="2492"/>
          </w:tcPr>
          <w:p>
            <w:pPr>
              <w:pStyle w:val="null3"/>
            </w:pPr>
            <w:r>
              <w:rPr>
                <w:rFonts w:ascii="仿宋_GB2312" w:hAnsi="仿宋_GB2312" w:cs="仿宋_GB2312" w:eastAsia="仿宋_GB2312"/>
              </w:rPr>
              <w:t>内容至少包括①明确各项工作任务完成期限、时间节点；②任务进度跟踪与管控；③任务进度偏差调整预案；④后续服务保障等。 评审标准：进度安排及后续服务保障各部分内容全面详细、阐述条理清晰详尽、符合本项目采购需求得6分，每缺一项内容扣1.5分；方案内容每有1处缺陷的扣1分，扣完为止。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内容至少包括：①组织管理架构；②岗位制度规范；③内部管理条例（含奖惩制度）；④档案管理制度；⑤保密管理制度。 评审标准：管理制度各部分内容全面详细、阐述条理清晰详尽、符合本项目采购需求得5分，每缺一项内容扣1分； 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内容至少包括：①承诺完全响应磋商文件和合同条款的要求；②人员配备响应承诺；③服务质量承诺及进度保证承诺；④承诺在合同履行中采购人若提出意见，供应商全力配合整改。 评审标准：服务承诺各部分内容全面详细、阐述条理清晰详尽、符合本项目采购需求得4分，每缺一项内容扣1分；方案内容每有1处缺陷的扣1分，扣完为止。 注：评审内容“缺陷”是指：内容粗略逻辑混乱、描述过于简单与项目特点不匹配、凭空编造、出现常识性错误、存在不适用项目实际情况的情形或只有标题没有实质性内容等。 未提供方案不得分。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项目人员配备（1）-项目负责人</w:t>
            </w:r>
          </w:p>
        </w:tc>
        <w:tc>
          <w:tcPr>
            <w:tcW w:type="dxa" w:w="2492"/>
          </w:tcPr>
          <w:p>
            <w:pPr>
              <w:pStyle w:val="null3"/>
            </w:pPr>
            <w:r>
              <w:rPr>
                <w:rFonts w:ascii="仿宋_GB2312" w:hAnsi="仿宋_GB2312" w:cs="仿宋_GB2312" w:eastAsia="仿宋_GB2312"/>
              </w:rPr>
              <w:t>（1）具有相关专业职称，其中：高级以上职称得2分，高级职称得1分，未提供不得分； （2）具有注册城乡规划师执业资格或咨询工程师（交通运输相关专业）证书得2分，未提供不得分； （3）项目负责人业绩（2022年至今）：每提供一项担任项目负责人业绩计2分，参与类似项目一项计1分，本小项最高得2分。 注：同时提供以下证明材料，未提供不得分：（1）提供磋商响应截止时间前近六个月内任意一个月的社保证明；（2）提供相关证书复印件并加盖供应商公章；（3）业绩以合同签订日期为准，业绩证明材料需提供体现负责人姓名的合同或签署成果文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项目人员配备.docx</w:t>
            </w:r>
          </w:p>
        </w:tc>
      </w:tr>
      <w:tr>
        <w:tc>
          <w:tcPr>
            <w:tcW w:type="dxa" w:w="831"/>
            <w:vMerge/>
          </w:tcPr>
          <w:p/>
        </w:tc>
        <w:tc>
          <w:tcPr>
            <w:tcW w:type="dxa" w:w="1661"/>
          </w:tcPr>
          <w:p>
            <w:pPr>
              <w:pStyle w:val="null3"/>
            </w:pPr>
            <w:r>
              <w:rPr>
                <w:rFonts w:ascii="仿宋_GB2312" w:hAnsi="仿宋_GB2312" w:cs="仿宋_GB2312" w:eastAsia="仿宋_GB2312"/>
              </w:rPr>
              <w:t>项目人员配备（2）-项目团队成员</w:t>
            </w:r>
          </w:p>
        </w:tc>
        <w:tc>
          <w:tcPr>
            <w:tcW w:type="dxa" w:w="2492"/>
          </w:tcPr>
          <w:p>
            <w:pPr>
              <w:pStyle w:val="null3"/>
            </w:pPr>
            <w:r>
              <w:rPr>
                <w:rFonts w:ascii="仿宋_GB2312" w:hAnsi="仿宋_GB2312" w:cs="仿宋_GB2312" w:eastAsia="仿宋_GB2312"/>
              </w:rPr>
              <w:t>团队成员配置（项目负责人除外）：（1）具有交通运输类相关专业职称：高级及以上职称每1人得1分，中级职称的每1人得0.5分，本小项最高得5分。同一人具备同一专业多个级别的职称，按最高级别计取一次分值； （2）具有注册城乡规划师执业资格或咨询工程师（交通运输相关专业）证书的，每人得1分，本小项最高得5分。 注：以上人员须为本单位员工，团队成员同时具备（1）（2）项要求，按最高得分只记一次。同时提供以下证明材料，未提供不得分：（1）提供磋商响应截止时间前近六个月内任意一个月的社保证明；（2）提供相关证书复印件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供应商提供（2022年至今）完成的业绩，每提供一项类似业绩计1.5分，最高计6分。（以合同签订日期为准，供应商须提供合同或中标（成交）通知书复印件加盖公章）。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(1)不高于最高限价，且经磋商小组评审不低于成本价的最终磋商报价为有效磋商报价。 (2)满足竞争性磋商文件要求且磋商价格最低的最终磋商报价为磋商基准价，得满分20分； (3)磋商报价得分=(磋商基准价／最终磋商报价)×20%×100。 满足落实政府采购相关政策的，用扣除后的价格参与评审。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政府采购促进中小企业发展管理办法》（财库〔2020〕46号）、《关于进一步加大政府采购支持中小企业力度的通知》（财库〔2022〕19号）文对符合要求的小微企业给予10%的价格扣除，用扣除后的价格参与评审。联合体各方均为小微企业，联合体视同小微企业，给予10%的价格扣除，用扣除后的价格参与评审。</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详见附件：项目人员配备.docx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