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版本号：ZCSP-渭南市-2025-0089820251212001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渭南市综合交通运输专项规划（2025-2035年）编制服务第三方服务机构项目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ZCSP-渭南市-2025-00898</w:t>
      </w:r>
      <w:r>
        <w:br/>
      </w:r>
      <w:r>
        <w:br/>
      </w:r>
      <w:r>
        <w:br/>
      </w:r>
    </w:p>
    <w:p>
      <w:pPr>
        <w:pStyle w:val="null3"/>
        <w:jc w:val="center"/>
        <w:outlineLvl w:val="2"/>
      </w:pPr>
      <w:r>
        <w:rPr>
          <w:rFonts w:ascii="仿宋_GB2312" w:hAnsi="仿宋_GB2312" w:cs="仿宋_GB2312" w:eastAsia="仿宋_GB2312"/>
          <w:sz w:val="28"/>
          <w:b/>
        </w:rPr>
        <w:t>渭南市交通运输局</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渭南市交通运输局</w:t>
      </w:r>
      <w:r>
        <w:rPr>
          <w:rFonts w:ascii="仿宋_GB2312" w:hAnsi="仿宋_GB2312" w:cs="仿宋_GB2312" w:eastAsia="仿宋_GB2312"/>
        </w:rPr>
        <w:t>委托，拟对</w:t>
      </w:r>
      <w:r>
        <w:rPr>
          <w:rFonts w:ascii="仿宋_GB2312" w:hAnsi="仿宋_GB2312" w:cs="仿宋_GB2312" w:eastAsia="仿宋_GB2312"/>
        </w:rPr>
        <w:t>渭南市综合交通运输专项规划（2025-2035年）编制服务第三方服务机构项目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ZCSP-渭南市-2025-00898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渭南市综合交通运输专项规划（2025-2035年）编制服务第三方服务机构项目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第三方服务公司开展渭南市综合交通运输专项规划（2025-2035年）编制工作，配合完成汇报和审查等有关工作。形成科学合理、可操作性强的规划成果，规划文本中包含空间开发保护与利用的专门篇章，与国土空间规划和“一张图”进行衔接核对，并汇交至全市国土空间规划“一张图”,为渭南市2025-2035年综合交通运输发展提供明确的方向指引和决策依据，有效支撑渭南市经济社会发展战略实施，提升区域综合交通运输服务能力和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连续三个月的本单位社保缴纳证明）；</w:t>
      </w:r>
    </w:p>
    <w:p>
      <w:pPr>
        <w:pStyle w:val="null3"/>
      </w:pPr>
      <w:r>
        <w:rPr>
          <w:rFonts w:ascii="仿宋_GB2312" w:hAnsi="仿宋_GB2312" w:cs="仿宋_GB2312" w:eastAsia="仿宋_GB2312"/>
        </w:rPr>
        <w:t>2、资质要求：供应商须具备城乡规划编制甲级资质；</w:t>
      </w:r>
    </w:p>
    <w:p>
      <w:pPr>
        <w:pStyle w:val="null3"/>
      </w:pPr>
      <w:r>
        <w:rPr>
          <w:rFonts w:ascii="仿宋_GB2312" w:hAnsi="仿宋_GB2312" w:cs="仿宋_GB2312" w:eastAsia="仿宋_GB2312"/>
        </w:rPr>
        <w:t>3、项目负责人：拟派项目负责人须具备相关专业高级技术职称；</w:t>
      </w:r>
    </w:p>
    <w:p>
      <w:pPr>
        <w:pStyle w:val="null3"/>
      </w:pPr>
      <w:r>
        <w:rPr>
          <w:rFonts w:ascii="仿宋_GB2312" w:hAnsi="仿宋_GB2312" w:cs="仿宋_GB2312" w:eastAsia="仿宋_GB2312"/>
        </w:rPr>
        <w:t>4、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5、联合体投标：本项目不接受联合体投标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李佳伟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0913-2118079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成交金额为基数计算采购代理服务费，由成交供应商一次性支付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渭南市交通运输局</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 2、成果文件必须通过专家评审和相关行业主管部门审批。 3、本项目由采购人及相关部门定期对项目进行阶段性验收。 4、验收标准：按双方协议、项目检查情况等综合指标进行验收,各项指标均应符合验收标准及要求。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联系人：陕西金合建设项目管理有限公司</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地址：陕西省渭南市临渭区渭南市朝阳大街审计大楼八层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服务公司开展渭南市综合交通运输专项规划（2025-2035年）编制工作，配合完成汇报和审查等有关工作。形成科学合理、可操作性强的规划成果，规划文本中包含空间开发保护与利用的专门篇章，与国土空间规划和“一张图”进行衔接核对，并汇交至全市国土空间规划“一张图”,为渭南市2025-2035年综合交通运输发展提供明确的方向指引和决策依据，有效支撑渭南市经济社会发展战略实施，提升区域综合交通运输服务能力和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渭南市综合交通运输专项规划（2025-2035年）编制服务第三方服务机构项目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标的名称：渭南市综合交通运输专项规划（2025-2035年）编制服务第三方服务机构项目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1.项目名称：渭南市综合交通运输专项规划（2025-2035年）编制服务第三方服务机构项目</w:t>
            </w:r>
          </w:p>
          <w:p>
            <w:pPr>
              <w:pStyle w:val="null3"/>
              <w:jc w:val="both"/>
            </w:pPr>
            <w:r>
              <w:rPr>
                <w:rFonts w:ascii="仿宋_GB2312" w:hAnsi="仿宋_GB2312" w:cs="仿宋_GB2312" w:eastAsia="仿宋_GB2312"/>
                <w:sz w:val="21"/>
              </w:rPr>
              <w:t>2.项目依据：委托第三方服务公司开展渭南市综合交通运输专项规划（2025-2035年）编制工作，配合完成汇报和审查等有关工作。形成科学合理、可操作性强的规划成果，规划文本中包含空间开发保护与利用的专门篇章，与国土空间规划和“一张图”进行衔接核对，并汇交至全市国土空间规划“一张图”,为渭南市2025-2035年综合交通运输发展提供明确的方向指引和决策依据，有效支撑渭南市经济社会发展战略实施，提升区域综合交通运输服务能力和水平。</w:t>
            </w:r>
          </w:p>
          <w:p>
            <w:pPr>
              <w:pStyle w:val="null3"/>
              <w:jc w:val="both"/>
            </w:pPr>
            <w:r>
              <w:rPr>
                <w:rFonts w:ascii="仿宋_GB2312" w:hAnsi="仿宋_GB2312" w:cs="仿宋_GB2312" w:eastAsia="仿宋_GB2312"/>
                <w:sz w:val="21"/>
                <w:b/>
              </w:rPr>
              <w:t>二、服务内容</w:t>
            </w:r>
          </w:p>
          <w:p>
            <w:pPr>
              <w:pStyle w:val="null3"/>
              <w:jc w:val="both"/>
            </w:pPr>
            <w:r>
              <w:rPr>
                <w:rFonts w:ascii="仿宋_GB2312" w:hAnsi="仿宋_GB2312" w:cs="仿宋_GB2312" w:eastAsia="仿宋_GB2312"/>
                <w:sz w:val="21"/>
              </w:rPr>
              <w:t>1.项目内容</w:t>
            </w:r>
          </w:p>
          <w:p>
            <w:pPr>
              <w:pStyle w:val="null3"/>
              <w:jc w:val="both"/>
            </w:pPr>
            <w:r>
              <w:rPr>
                <w:rFonts w:ascii="仿宋_GB2312" w:hAnsi="仿宋_GB2312" w:cs="仿宋_GB2312" w:eastAsia="仿宋_GB2312"/>
                <w:sz w:val="21"/>
              </w:rPr>
              <w:t>开展渭南市综合交通运输专项规划（</w:t>
            </w:r>
            <w:r>
              <w:rPr>
                <w:rFonts w:ascii="仿宋_GB2312" w:hAnsi="仿宋_GB2312" w:cs="仿宋_GB2312" w:eastAsia="仿宋_GB2312"/>
                <w:sz w:val="21"/>
              </w:rPr>
              <w:t>2025-2035年）编制工作，配合完成汇报、报批和审查等有关工作。</w:t>
            </w:r>
          </w:p>
          <w:p>
            <w:pPr>
              <w:pStyle w:val="null3"/>
              <w:jc w:val="both"/>
            </w:pPr>
            <w:r>
              <w:rPr>
                <w:rFonts w:ascii="仿宋_GB2312" w:hAnsi="仿宋_GB2312" w:cs="仿宋_GB2312" w:eastAsia="仿宋_GB2312"/>
                <w:sz w:val="21"/>
              </w:rPr>
              <w:t>2.具体任务</w:t>
            </w:r>
          </w:p>
          <w:p>
            <w:pPr>
              <w:pStyle w:val="null3"/>
              <w:jc w:val="both"/>
            </w:pPr>
            <w:r>
              <w:rPr>
                <w:rFonts w:ascii="仿宋_GB2312" w:hAnsi="仿宋_GB2312" w:cs="仿宋_GB2312" w:eastAsia="仿宋_GB2312"/>
                <w:sz w:val="21"/>
              </w:rPr>
              <w:t>开展渭南市综合交通运输专项规划（</w:t>
            </w:r>
            <w:r>
              <w:rPr>
                <w:rFonts w:ascii="仿宋_GB2312" w:hAnsi="仿宋_GB2312" w:cs="仿宋_GB2312" w:eastAsia="仿宋_GB2312"/>
                <w:sz w:val="21"/>
              </w:rPr>
              <w:t>2025-2035年）编制工作，</w:t>
            </w:r>
            <w:r>
              <w:rPr>
                <w:rFonts w:ascii="仿宋_GB2312" w:hAnsi="仿宋_GB2312" w:cs="仿宋_GB2312" w:eastAsia="仿宋_GB2312"/>
                <w:sz w:val="21"/>
              </w:rPr>
              <w:t>配合完成汇报、报批和审查等有关工作</w:t>
            </w:r>
            <w:r>
              <w:rPr>
                <w:rFonts w:ascii="仿宋_GB2312" w:hAnsi="仿宋_GB2312" w:cs="仿宋_GB2312" w:eastAsia="仿宋_GB2312"/>
                <w:sz w:val="21"/>
              </w:rPr>
              <w:t>。形成科学合理、可操作性强的规划成果，规划文本中包含空间开发保护与利用的专门篇章，与国土空间规划和</w:t>
            </w:r>
            <w:r>
              <w:rPr>
                <w:rFonts w:ascii="仿宋_GB2312" w:hAnsi="仿宋_GB2312" w:cs="仿宋_GB2312" w:eastAsia="仿宋_GB2312"/>
                <w:sz w:val="21"/>
              </w:rPr>
              <w:t>“一张图”进行衔接核对，并汇交至全市国土空间规划“一张图”,为渭南市2025-2035年综合交通运输发展提供明确的方向指引和决策依据，有效支撑渭南市经济社会发展战略实施，提升区域综合交通运输服务能力和水平。</w:t>
            </w:r>
          </w:p>
          <w:p>
            <w:pPr>
              <w:pStyle w:val="null3"/>
              <w:jc w:val="both"/>
            </w:pPr>
            <w:r>
              <w:rPr>
                <w:rFonts w:ascii="仿宋_GB2312" w:hAnsi="仿宋_GB2312" w:cs="仿宋_GB2312" w:eastAsia="仿宋_GB2312"/>
                <w:sz w:val="21"/>
              </w:rPr>
              <w:t>（一）加强与国土空间总体规划的衔接。必须严格遵循总体规划确定的战略定位、空间格局、底线约束、规划目标等核心内容，必须与总体规划进行充分衔接和一致性校核，确保不得突破或违背总体规划的强制性内容。</w:t>
            </w:r>
          </w:p>
          <w:p>
            <w:pPr>
              <w:pStyle w:val="null3"/>
              <w:jc w:val="both"/>
            </w:pPr>
            <w:r>
              <w:rPr>
                <w:rFonts w:ascii="仿宋_GB2312" w:hAnsi="仿宋_GB2312" w:cs="仿宋_GB2312" w:eastAsia="仿宋_GB2312"/>
                <w:sz w:val="21"/>
              </w:rPr>
              <w:t>（二）严格统一技术标准与底图底数。必须使用国家及省级统一制定的国土空间规划技术标准、规程规范，确保基础数据来源一致、基准统一、现势性强，统一采用</w:t>
            </w:r>
            <w:r>
              <w:rPr>
                <w:rFonts w:ascii="仿宋_GB2312" w:hAnsi="仿宋_GB2312" w:cs="仿宋_GB2312" w:eastAsia="仿宋_GB2312"/>
                <w:sz w:val="21"/>
              </w:rPr>
              <w:t>“2000国家大地坐标系”“1985国家高程基准”“高斯一克吕格投影”（3度分带）等数据标准，规范专项规划成果内容，建立矢量数据库，确保能够纳入国土空间规划“一张图”信息平台。</w:t>
            </w:r>
          </w:p>
          <w:p>
            <w:pPr>
              <w:pStyle w:val="null3"/>
              <w:jc w:val="both"/>
            </w:pPr>
            <w:r>
              <w:rPr>
                <w:rFonts w:ascii="仿宋_GB2312" w:hAnsi="仿宋_GB2312" w:cs="仿宋_GB2312" w:eastAsia="仿宋_GB2312"/>
                <w:sz w:val="21"/>
              </w:rPr>
              <w:t>（三）切实提升规划的科学性与可实施性。深入开展调查研究，科学研判行业发展趋势和空间需求。强化多方案比选论证，广泛运用大数据、空间分析等现代技术手段。规划内容要聚焦空间布局落位，突出解决实际问题，明确近期实施重点、重大工程项目的空间落位和用地保障路径</w:t>
            </w:r>
            <w:r>
              <w:rPr>
                <w:rFonts w:ascii="仿宋_GB2312" w:hAnsi="仿宋_GB2312" w:cs="仿宋_GB2312" w:eastAsia="仿宋_GB2312"/>
                <w:sz w:val="21"/>
              </w:rPr>
              <w:t>,增强规划的指导性和可操作性。</w:t>
            </w:r>
          </w:p>
          <w:p>
            <w:pPr>
              <w:pStyle w:val="null3"/>
              <w:jc w:val="both"/>
            </w:pPr>
            <w:r>
              <w:rPr>
                <w:rFonts w:ascii="仿宋_GB2312" w:hAnsi="仿宋_GB2312" w:cs="仿宋_GB2312" w:eastAsia="仿宋_GB2312"/>
                <w:sz w:val="21"/>
                <w:b/>
              </w:rPr>
              <w:t>三、技术要求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严格按照国家技术规范、标准、规程及甲方提出的规划及方案编制要求，进行规划及方案编制。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保质保量、按时提交以合同所规定的内容、进度要求向甲方交付资料及成果文件。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解答甲方提出的问题及合同责任内的服务，做出方案调整、修改等工作。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负责按照甲方审查及专家评审意见对报告进行修改，负责最后的出版印刷。</w:t>
            </w:r>
          </w:p>
          <w:p>
            <w:pPr>
              <w:pStyle w:val="null3"/>
              <w:jc w:val="both"/>
            </w:pPr>
            <w:r>
              <w:rPr>
                <w:rFonts w:ascii="仿宋_GB2312" w:hAnsi="仿宋_GB2312" w:cs="仿宋_GB2312" w:eastAsia="仿宋_GB2312"/>
                <w:sz w:val="21"/>
              </w:rPr>
              <w:t>5.质量标准：成果文件及配套服务达到国家及行业验收合格标准。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需执行的国家相关标准、行业标准、地方标准或者其他标准、规范标准</w:t>
            </w:r>
          </w:p>
          <w:p>
            <w:pPr>
              <w:pStyle w:val="null3"/>
              <w:jc w:val="both"/>
            </w:pPr>
            <w:r>
              <w:rPr>
                <w:rFonts w:ascii="仿宋_GB2312" w:hAnsi="仿宋_GB2312" w:cs="仿宋_GB2312" w:eastAsia="仿宋_GB2312"/>
                <w:sz w:val="21"/>
              </w:rPr>
              <w:t>供应商在服务工作中必须使用下述标准、规范（不限于）：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《中华人民共和国公路法》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《中华人民共和国环境影响评价法》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《中华人民共和国城乡规划法》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《政府投资条例》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《建设项目环境保护管理条例》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《陕西省政府投资管理办法》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《工程咨询</w:t>
            </w:r>
            <w:r>
              <w:rPr>
                <w:rFonts w:ascii="仿宋_GB2312" w:hAnsi="仿宋_GB2312" w:cs="仿宋_GB2312" w:eastAsia="仿宋_GB2312"/>
                <w:sz w:val="21"/>
              </w:rPr>
              <w:t>基本术语》</w:t>
            </w:r>
            <w:r>
              <w:rPr>
                <w:rFonts w:ascii="仿宋_GB2312" w:hAnsi="仿宋_GB2312" w:cs="仿宋_GB2312" w:eastAsia="仿宋_GB2312"/>
                <w:sz w:val="21"/>
              </w:rPr>
              <w:t>GB/Z 40846-2021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《交通运输企业安全生产标准化建设基本规范》</w:t>
            </w:r>
            <w:r>
              <w:rPr>
                <w:rFonts w:ascii="仿宋_GB2312" w:hAnsi="仿宋_GB2312" w:cs="仿宋_GB2312" w:eastAsia="仿宋_GB2312"/>
                <w:sz w:val="21"/>
              </w:rPr>
              <w:t>JT/T 1180.19-2018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《交通运输企业安全生产标准化建设规范》</w:t>
            </w:r>
            <w:r>
              <w:rPr>
                <w:rFonts w:ascii="仿宋_GB2312" w:hAnsi="仿宋_GB2312" w:cs="仿宋_GB2312" w:eastAsia="仿宋_GB2312"/>
                <w:sz w:val="21"/>
              </w:rPr>
              <w:t>DB61/T 1447.1-2021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《道路交通安全管理体系</w:t>
            </w:r>
            <w:r>
              <w:rPr>
                <w:rFonts w:ascii="仿宋_GB2312" w:hAnsi="仿宋_GB2312" w:cs="仿宋_GB2312" w:eastAsia="仿宋_GB2312"/>
                <w:sz w:val="21"/>
              </w:rPr>
              <w:t>要求及使用指南》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《道路交通安全管理规划编制指南》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《城市基础设施管理》</w:t>
            </w:r>
            <w:r>
              <w:rPr>
                <w:rFonts w:ascii="仿宋_GB2312" w:hAnsi="仿宋_GB2312" w:cs="仿宋_GB2312" w:eastAsia="仿宋_GB2312"/>
                <w:sz w:val="21"/>
              </w:rPr>
              <w:t>GB/T 32555-2016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《高速公路绿化设计规范》</w:t>
            </w:r>
            <w:r>
              <w:rPr>
                <w:rFonts w:ascii="仿宋_GB2312" w:hAnsi="仿宋_GB2312" w:cs="仿宋_GB2312" w:eastAsia="仿宋_GB2312"/>
                <w:sz w:val="21"/>
              </w:rPr>
              <w:t>DB61/T 1056-2016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其他相关法律、法规和技术规范。</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1）在服务范围内按工作内容和要求制定详细的方案，方案科学、合理、可靠。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2）人员配备合理。有针对本项目的专项服务小组，项目负责人、工作人员分工明确（应有具体成员名单，包括姓名、工作职责等）。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3）有各类突发事件的应急预案和措施，有明确具体的承诺。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4）供应商所拟派的工作人员，若在服务期间发生任何伤害，采购人概不负责，由供应商自行处理。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应积极履行合同义务，应按照合同约定及双方另行确定的工作计划及交付时间交付项目初步成果及最终成果，采购人配合提供项目规划所需的相关资料和素材（所需资料以供应商向采购人提出书面资料清单为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项目负责人：须具备相关专业高级技术职称；其他人员：根据项目实施情况配置人员。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供应商根据本项目实施情况，自行提供。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2025年12月15日-2027年12月15日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 2、成果文件必须通过专家评审和相关行业主管部门审批。 3、本项目由采购人及相关部门定期对项目进行阶段性验收。 4、验收标准：按双方协议、项目检查情况等综合指标进行验收,各项指标均应符合验收标准及要求。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合同签订后，乙方完成《渭南市综合交通运输专项规划（2025-2035年）》初步成果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通过甲方审查且正式印发后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按磋商文件要求及合同条款约定执行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 （1）以转账、支票、汇票等方式递交磋商保证金的，须从供应商户名支付，如从个人户名或非供应商户名支付，将被拒绝，视为自动放弃投标权利；磋商保证金以采购代理机构到账凭证为准，供应商需更换交纳凭证，由采购代理机构统一提供保证金收据；供应商应在磋商文件中附收据复印件。 （2）以保函形式交纳磋商保证金的，供应商应在响应截止时间前持保函原件至代理机构财务处换取收据；供应商应在磋商文件中附收据复印件。保函必须由具有开具投标保函资格的单位开具；若供应商违约，开具保函单位承担连带责任； （3）磋商保证金的提交金额、时间不满足磋商文件要求的，投标无效； （4）未按指定账户提交的，我公司将退回，供应商须在文件递交截止时间前按照指定账户再次提交。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（3）有依法缴纳税收的记录，提供供应商2024年11月以来任意一个月的依法缴纳税收凭据或完税证明（依法免税的供应商应提供相关文件证明）； （4）有依法缴纳社会保障资金的记录，提供供应商2024年11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单位负责人为同一人或者存在直接控股、管理关系的不同供应商按提交响应文件，按递交顺序只接受第一家响应文件，其他供应商按无效标处理。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连续三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供应商须具备城乡规划编制甲级资质；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拟派项目负责人须具备相关专业高级技术职称；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业绩.docx 磋商保证金.docx 服务内容及服务邀请应答表 中小企业声明函 商务应答表 响应文件封面 供应商应提交的相关资格证明材料.docx 残疾人福利性单位声明函 标的清单 项目人员配备.docx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业绩.docx 磋商保证金.docx 服务内容及服务邀请应答表 中小企业声明函 商务应答表 响应文件封面 供应商应提交的相关资格证明材料.docx 残疾人福利性单位声明函 标的清单 项目人员配备.docx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报价唯一与首次报价</w:t>
            </w:r>
          </w:p>
        </w:tc>
        <w:tc>
          <w:tcPr>
            <w:tcW w:type="dxa" w:w="3322"/>
          </w:tcPr>
          <w:p>
            <w:pPr>
              <w:pStyle w:val="null3"/>
            </w:pPr>
            <w:r>
              <w:rPr>
                <w:rFonts w:ascii="仿宋_GB2312" w:hAnsi="仿宋_GB2312" w:cs="仿宋_GB2312" w:eastAsia="仿宋_GB2312"/>
              </w:rPr>
              <w:t>只能有一个有效报价且首次报价未超过最高限价。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成果文件及配套服务达到国家及行业验收合格标准。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需提供缴纳凭证</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内容至少包括：①项目背景调查及解读；②总体工作思路。 评审标准：项目理解各部分内容全面详细、阐述条理清晰详尽、符合本项目采购需求得7分，每缺一项内容扣3.5分；方案内容每有1处缺陷的扣1分，扣完为止。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内容至少包括①重、难点分析；②风险点分析；③解决措施等。 评审标准：重点、难点分析及解决措施各部分内容全面详细、阐述条理清晰详尽、符合本项目采购需求得9分，每缺一项内容扣3分；方案内容每有1处缺陷的扣1分，扣完为止。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规划编制方案</w:t>
            </w:r>
          </w:p>
        </w:tc>
        <w:tc>
          <w:tcPr>
            <w:tcW w:type="dxa" w:w="2492"/>
          </w:tcPr>
          <w:p>
            <w:pPr>
              <w:pStyle w:val="null3"/>
            </w:pPr>
            <w:r>
              <w:rPr>
                <w:rFonts w:ascii="仿宋_GB2312" w:hAnsi="仿宋_GB2312" w:cs="仿宋_GB2312" w:eastAsia="仿宋_GB2312"/>
              </w:rPr>
              <w:t>内容至少包括①总体工作思路；②项目任务目标阐述；③规划编制大纲；④技术标准和方法；⑤主要任务分析；⑥规划方案论证与完善；⑦报告成果提交及报批方案。 评审标准：服务方案内容各部分内容全面详细、阐述条理清晰详尽、符合本项目采购需求得21分，每缺一项内容扣3分；方案内容每有1处缺陷的扣1分，扣完为止。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内容至少包括①质量目标；②质量控制要点；③质量责任制度；④检查审核机制；⑤人员能力培训及提升；⑥技术与外部支持资源保障。 评审标准：质量保证措施各部分内容全面详细、阐述条理清晰详尽、符合本项目采购需求得6分，每缺一项内容扣1分；方案内容每有1处缺陷的扣1分，扣完为止。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进度保证措施及后续服务保障</w:t>
            </w:r>
          </w:p>
        </w:tc>
        <w:tc>
          <w:tcPr>
            <w:tcW w:type="dxa" w:w="2492"/>
          </w:tcPr>
          <w:p>
            <w:pPr>
              <w:pStyle w:val="null3"/>
            </w:pPr>
            <w:r>
              <w:rPr>
                <w:rFonts w:ascii="仿宋_GB2312" w:hAnsi="仿宋_GB2312" w:cs="仿宋_GB2312" w:eastAsia="仿宋_GB2312"/>
              </w:rPr>
              <w:t>内容至少包括①明确各项工作任务完成期限、时间节点；②任务进度跟踪与管控；③任务进度偏差调整预案；④后续服务保障等。 评审标准：进度安排及后续服务保障各部分内容全面详细、阐述条理清晰详尽、符合本项目采购需求得6分，每缺一项内容扣1.5分；方案内容每有1处缺陷的扣1分，扣完为止。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内容至少包括：①组织管理架构；②岗位制度规范；③内部管理条例（含奖惩制度）；④档案管理制度；⑤保密管理制度。 评审标准：管理制度各部分内容全面详细、阐述条理清晰详尽、符合本项目采购需求得5分，每缺一项内容扣1分； 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内容至少包括：①承诺完全响应磋商文件和合同条款的要求；②人员配备响应承诺；③服务质量承诺及进度保证承诺；④承诺在合同履行中采购人若提出意见，供应商全力配合整改。 评审标准：服务承诺各部分内容全面详细、阐述条理清晰详尽、符合本项目采购需求得4分，每缺一项内容扣1分；方案内容每有1处缺陷的扣1分，扣完为止。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项目人员配备（1）-项目负责人</w:t>
            </w:r>
          </w:p>
        </w:tc>
        <w:tc>
          <w:tcPr>
            <w:tcW w:type="dxa" w:w="2492"/>
          </w:tcPr>
          <w:p>
            <w:pPr>
              <w:pStyle w:val="null3"/>
            </w:pPr>
            <w:r>
              <w:rPr>
                <w:rFonts w:ascii="仿宋_GB2312" w:hAnsi="仿宋_GB2312" w:cs="仿宋_GB2312" w:eastAsia="仿宋_GB2312"/>
              </w:rPr>
              <w:t>（1）具有相关专业职称，其中：高级以上职称得2分，高级职称得1分，未提供不得分； （2）具有注册城乡规划师执业资格或咨询工程师（交通运输相关专业）证书得2分，未提供不得分； （3）项目负责人业绩（2022年至今）：每提供一项担任项目负责人业绩计2分，参与类似项目一项计1分，本小项最高得2分。 注：同时提供以下证明材料，未提供不得分：（1）提供磋商响应截止时间前近六个月内任意一个月的社保证明；（2）提供相关证书复印件并加盖供应商公章；（3）业绩以合同签订日期为准，业绩证明材料需提供体现负责人姓名的合同或签署成果文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项目人员配备（2）-项目团队成员</w:t>
            </w:r>
          </w:p>
        </w:tc>
        <w:tc>
          <w:tcPr>
            <w:tcW w:type="dxa" w:w="2492"/>
          </w:tcPr>
          <w:p>
            <w:pPr>
              <w:pStyle w:val="null3"/>
            </w:pPr>
            <w:r>
              <w:rPr>
                <w:rFonts w:ascii="仿宋_GB2312" w:hAnsi="仿宋_GB2312" w:cs="仿宋_GB2312" w:eastAsia="仿宋_GB2312"/>
              </w:rPr>
              <w:t>团队成员配置（项目负责人除外）：（1）具有交通运输类相关专业职称：中级职称的每1人得0.5分，高级及以上职称每1人得1分，本小项最高得5分。同一人具备同一专业多个级别的职称，按最高级别计取一次分值； （2）具有注册城乡规划师执业资格或咨询工程师（交通运输相关专业）证书的，每人得1分，本小项最高得5分。 注：以上人员须为本单位员工，团队成员同时具备（1）（2）项要求，按最高得分只记一次。同时提供以下证明材料，未提供不得分：（1）提供磋商响应截止时间前近六个月内任意一个月的社保证明；（2）提供相关证书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供应商提供（2022年至今）完成的业绩，每提供一项类似业绩计1.5分，最高计6分。（以合同签订日期为准，供应商须提供合同或中标（成交）通知书复印件加盖公章）。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(2)满足竞争性磋商文件要求且磋商价格最低的最终磋商报价为磋商基准价，得满分20分； (3)磋商报价得分=(磋商基准价／最终磋商报价)×20%×100。 满足落实政府采购相关政策的，用扣除后的价格参与评审。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政府采购促进中小企业发展管理办法》（财库〔2020〕46号）、《关于进一步加大政府采购支持中小企业力度的通知》（财库〔2022〕19号）文对符合要求的小微企业给予10%的价格扣除，用扣除后的价格参与评审。联合体各方均为小微企业，联合体视同小微企业，给予10%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