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版本号：ZCSP-渭南市-2025-0090020251212001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渭南市“十五五”生态环境保护规划编制服务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ZCSP-渭南市-2025-00900</w:t>
      </w:r>
      <w:r>
        <w:br/>
      </w:r>
      <w:r>
        <w:br/>
      </w:r>
      <w:r>
        <w:br/>
      </w:r>
    </w:p>
    <w:p>
      <w:pPr>
        <w:pStyle w:val="null3"/>
        <w:jc w:val="center"/>
        <w:outlineLvl w:val="2"/>
      </w:pPr>
      <w:r>
        <w:rPr>
          <w:rFonts w:ascii="仿宋_GB2312" w:hAnsi="仿宋_GB2312" w:cs="仿宋_GB2312" w:eastAsia="仿宋_GB2312"/>
          <w:sz w:val="28"/>
          <w:b/>
        </w:rPr>
        <w:t>渭南市生态环境局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渭南市生态环境局</w:t>
      </w:r>
      <w:r>
        <w:rPr>
          <w:rFonts w:ascii="仿宋_GB2312" w:hAnsi="仿宋_GB2312" w:cs="仿宋_GB2312" w:eastAsia="仿宋_GB2312"/>
        </w:rPr>
        <w:t>委托，拟对</w:t>
      </w:r>
      <w:r>
        <w:rPr>
          <w:rFonts w:ascii="仿宋_GB2312" w:hAnsi="仿宋_GB2312" w:cs="仿宋_GB2312" w:eastAsia="仿宋_GB2312"/>
        </w:rPr>
        <w:t>渭南市“十五五”生态环境保护规划编制服务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ZCSP-渭南市-2025-00900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渭南市“十五五”生态环境保护规划编制服务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全面研究渭南市“十四五”时期生态环境保护规划落实情况，结合渭南市生态环境状况，编制渭南市“十五五”生态环境保护规划。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1、磋商保证金：磋商保证金交纳凭证</w:t>
      </w:r>
    </w:p>
    <w:p>
      <w:pPr>
        <w:pStyle w:val="null3"/>
      </w:pPr>
      <w:r>
        <w:rPr>
          <w:rFonts w:ascii="仿宋_GB2312" w:hAnsi="仿宋_GB2312" w:cs="仿宋_GB2312" w:eastAsia="仿宋_GB2312"/>
        </w:rPr>
        <w:t>2、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3、法定代表人身份证明书或授权委托书：法定代表人参与磋商时需提供法定代表人身份证明书；被授权人参与磋商时需提供法定代表人身份证明书及法定代表人授权委托书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4、项目负责人：拟派项目负责人具备相关专业高级职称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临渭区朝阳大街西段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0913-2158362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渭南市生态环境局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按服务内容、服务要求、响应文件及澄清函等综合指标进行验收；各项指标均应符合验收标准及要求；成果报告由采购人组织专家评审，并通过验收。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全面研究渭南市“十四五”时期生态环境保护规划落实情况，结合渭南市生态环境状况，编制渭南市“十五五”生态环境保护规划。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979,000.00</w:t>
      </w:r>
    </w:p>
    <w:p>
      <w:pPr>
        <w:pStyle w:val="null3"/>
      </w:pPr>
      <w:r>
        <w:rPr>
          <w:rFonts w:ascii="仿宋_GB2312" w:hAnsi="仿宋_GB2312" w:cs="仿宋_GB2312" w:eastAsia="仿宋_GB2312"/>
        </w:rPr>
        <w:t>采购包最高限价（元）: 979,000.00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渭南市“十五五”生态环境保护规划编制服务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979,000.00</w:t>
            </w:r>
          </w:p>
        </w:tc>
        <w:tc>
          <w:tcPr>
            <w:tcW w:type="dxa" w:w="831"/>
          </w:tcPr>
          <w:p>
            <w:pPr>
              <w:pStyle w:val="null3"/>
            </w:pPr>
            <w:r>
              <w:rPr>
                <w:rFonts w:ascii="仿宋_GB2312" w:hAnsi="仿宋_GB2312" w:cs="仿宋_GB2312" w:eastAsia="仿宋_GB2312"/>
              </w:rPr>
              <w:t>979000</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标的名称：渭南市“十五五”生态环境保护规划编制服务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rPr>
              <w:t>1.服务要求：</w:t>
            </w:r>
          </w:p>
          <w:p>
            <w:pPr>
              <w:pStyle w:val="null3"/>
              <w:ind w:firstLine="640"/>
              <w:jc w:val="left"/>
            </w:pPr>
            <w:r>
              <w:rPr>
                <w:rFonts w:ascii="仿宋_GB2312" w:hAnsi="仿宋_GB2312" w:cs="仿宋_GB2312" w:eastAsia="仿宋_GB2312"/>
              </w:rPr>
              <w:t>对照美丽中国建设、碳达峰碳中和等关键节点和重点任务，全面总结分析渭南市“十四五"生态环境保护的成效、经验和不足，深入分析“十五五”时期渭南市生态环境保护工作面临的机遇与面对的挑战，研判“十五五"生态环境保护面临形势。在广泛调研的基础上，围绕2030年生态环境全面改善，2035年生态环境根本好转的战略部署和总体要求，科学编制《渭南市“十五五"生态环境保护规划》，提出渭南市“十五五”生态环境保护规划的指导思路、基本原则、主要目标、重点任务、重大工程、规划实施保障措施等。做好与陕西省生态环境保护规划和市发展改革委关于渭南市市国民经济和社会发展“十五五"规划纲要的衔接，做好与市有关部门“十五五"规划的衔接，确保生态环境保护相关指标和任务协同一致。</w:t>
            </w:r>
          </w:p>
          <w:p>
            <w:pPr>
              <w:pStyle w:val="null3"/>
            </w:pPr>
            <w:r>
              <w:rPr>
                <w:rFonts w:ascii="仿宋_GB2312" w:hAnsi="仿宋_GB2312" w:cs="仿宋_GB2312" w:eastAsia="仿宋_GB2312"/>
              </w:rPr>
              <w:t>围绕核心内容、成果交付、合规服务等方面，满足科学性与可落地性要求，形成符合中省规划要求的成果。</w:t>
            </w:r>
          </w:p>
          <w:p>
            <w:pPr>
              <w:pStyle w:val="null3"/>
            </w:pPr>
            <w:r>
              <w:rPr>
                <w:rFonts w:ascii="仿宋_GB2312" w:hAnsi="仿宋_GB2312" w:cs="仿宋_GB2312" w:eastAsia="仿宋_GB2312"/>
              </w:rPr>
              <w:t>2.服务质量</w:t>
            </w:r>
          </w:p>
          <w:p>
            <w:pPr>
              <w:pStyle w:val="null3"/>
            </w:pPr>
            <w:r>
              <w:rPr>
                <w:rFonts w:ascii="仿宋_GB2312" w:hAnsi="仿宋_GB2312" w:cs="仿宋_GB2312" w:eastAsia="仿宋_GB2312"/>
              </w:rPr>
              <w:t>（1）符合国家相关行业规范、规程和有关技术规定；</w:t>
            </w:r>
          </w:p>
          <w:p>
            <w:pPr>
              <w:pStyle w:val="null3"/>
            </w:pPr>
            <w:r>
              <w:rPr>
                <w:rFonts w:ascii="仿宋_GB2312" w:hAnsi="仿宋_GB2312" w:cs="仿宋_GB2312" w:eastAsia="仿宋_GB2312"/>
              </w:rPr>
              <w:t>（2）成果文件及质量满足主管部门的要求。</w:t>
            </w:r>
          </w:p>
          <w:p>
            <w:pPr>
              <w:pStyle w:val="null3"/>
            </w:pPr>
            <w:r>
              <w:rPr>
                <w:rFonts w:ascii="仿宋_GB2312" w:hAnsi="仿宋_GB2312" w:cs="仿宋_GB2312" w:eastAsia="仿宋_GB2312"/>
              </w:rPr>
              <w:t>3.成果形式及内容</w:t>
            </w:r>
          </w:p>
          <w:p>
            <w:pPr>
              <w:pStyle w:val="null3"/>
            </w:pPr>
            <w:r>
              <w:rPr>
                <w:rFonts w:ascii="仿宋_GB2312" w:hAnsi="仿宋_GB2312" w:cs="仿宋_GB2312" w:eastAsia="仿宋_GB2312"/>
              </w:rPr>
              <w:t>最终成果符合国家、省、市现行相关规范标准。项目共产出1项成果，《渭南市“十五五”生态环境保护规划》；</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1.质量标准：成果文件及配套服务达到中省市及行业相关要求。 2.验收标准：按服务内容、服务要求、响应文件及澄清函等综合指标进行验收；各项指标均应符合验收标准及要求；成果报告由采购人组织专家评审，并通过验收。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双方签定合同后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供应商完成所有工作内容，最终成果经采购人及相关部门验收合格</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（1）根据《政府采购法实施条例》释义，银行、保险、石油石化、电力、电信等有行业特殊情况的，允许法人的分支机构参加政府采购活动。 （2）中标（成交）供应商在中标（成交）结果公告发布后3个工作日内提供叁套纸质投标文件（经编标工具生成的文件直接打印并加盖公章），递交的纸质版文件内容确保与线上电子文件保持一致，不允许修改和补充。（3）特此说明：本项目因采购人前期录入系统有误，招标文件中“服务内容 3.2.1”正确数量为“1”、计量单位为“项”。（4）本项目所属行业：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1.1企业法人应提供统一社会信用代码的营业执照；事业法人应提供统一社会信用代码的事业单位法人证；其他组织应提供合法证明文件；自然人应提供身份证明文件； 1.2提供具有财务审计资质单位出具的2024年度的财务报告或响应文件提交截止时间前六个月内其基本账户银行出具的资信证明； 1.3供应商提供投标文件提交截止时间前一年内任意一个月的社会保障资金缴存证明或社保机构开具的社会保险参保缴费情况证明；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1.5提供供应商参加政府采购活动前三年内经营活动中没有重大违法纪录的书面声明； 1.6提供具有履行合同所必需的设备和专业技术能力的声明。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拟派项目负责人具备相关专业高级职称</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资格证明文件.docx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资格证明文件.docx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满足磋商文件服务要求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一、评审内容：根据所提供的针对本项目的整体实施方案，方案包含但不限于：①对项目的理解；②政策、法律、法规的解读；③规划编制的依据；④工作思路；⑤服务内容；⑥项目成果等。 二、评审标准：提供详细、合理、科学可行的方案，方案符合本项目采购需求有针对性，以上6项，以序号①、②、③、④、⑤、⑥为项数，内容无缺项、无漏项且无缺陷的得18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专业化服务方案</w:t>
            </w:r>
          </w:p>
        </w:tc>
        <w:tc>
          <w:tcPr>
            <w:tcW w:type="dxa" w:w="2492"/>
          </w:tcPr>
          <w:p>
            <w:pPr>
              <w:pStyle w:val="null3"/>
            </w:pPr>
            <w:r>
              <w:rPr>
                <w:rFonts w:ascii="仿宋_GB2312" w:hAnsi="仿宋_GB2312" w:cs="仿宋_GB2312" w:eastAsia="仿宋_GB2312"/>
              </w:rPr>
              <w:t>一、评审内容：根据所提供的针对本项目的专业化服务方案情况进行综合评价。专业化服务方案包含：①成果目标；②服务计划；③针对服务内容所需的具体方案；④保密措施。 二、评审标准：提供详细、合理、科学可行的方案，方案符合本项目采购需求有针对性，以上4项，以序号①、②、③、④为项数，内容无缺项、无漏项且无缺陷的得16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一、评审内容：供应商根据本项目采购内容及要求编制服务质量保障措施，包含但不限于①质量标准；②质量控制体系；③质量保证措施等。 二、评审标准：提供详细、合理、科学可行的方案，方案符合本项目采购需求有针对性，以上3项，以序号①、②、③为项数，内容无缺项、无漏项且无缺陷的得12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一、评审内容：项目重点难点分析及解决方案，包含但不限于：①项目实施面临的重点、难点分析；②对重点、难点的解决方案等。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包含但不限于：①综合实力；②经营状况。 二、评审标准：提供详细、合理、科学可行的方案，方案符合本项目采购需求有针对性，以上2项，以序号①、②为项数，内容无缺项、无漏项且无缺陷的得6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1、服务团队： ①实施团队人员配备7人及以上得6分； ②实施团队人员配备4-6人得4分； ③实施团队人员配备1-3人得2分。 需提供佐证材料，包括但不限于身份证、毕业证、岗位证等，本项最高得6分，未提供不得分。 2、服务团队人员（不包含项目负责人）每具有一个相关专业中级职称得1分，相关专业高级职称得2分，本项最多得4分，需提供佐证材料，未提供不得分。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一、评审内容：供应商根据本项目采购内容及要求编制进度计划安排，包含但不限于①各阶段时间节点②进度保障措施③临时调整措施及应急处理能力等。 二、评审标准：提供详细、合理、科学可行的方案，方案符合本项目采购需求有针对性，以序号①、②、③为项数，内容无缺项、无漏项且无缺陷的得6分，其中每有一项内容存在缺项或漏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供应商具有近三年（2022年12月至今）的类似项目业绩，每提供1个业绩得1分，本项目最高得4分。（以合同签订时间为准。）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满足磋商文件要求且最后报价最低的供应商的价格为基准价得20分，其他各供应商的最后报价得分按下列公式计算：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