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3"/>
        <w:jc w:val="center"/>
        <w:rPr>
          <w:rFonts w:hint="eastAsia" w:ascii="宋体" w:hAnsi="宋体" w:eastAsia="宋体" w:cs="宋体"/>
          <w:b/>
          <w:bCs/>
          <w:spacing w:val="12"/>
          <w:kern w:val="2"/>
          <w:sz w:val="44"/>
          <w:szCs w:val="52"/>
          <w:lang w:val="en-US" w:eastAsia="zh-CN" w:bidi="ar-SA"/>
        </w:rPr>
      </w:pPr>
    </w:p>
    <w:p w14:paraId="4D67E87B">
      <w:pPr>
        <w:pStyle w:val="3"/>
        <w:jc w:val="center"/>
        <w:rPr>
          <w:rFonts w:hint="eastAsia" w:ascii="宋体" w:hAnsi="宋体" w:eastAsia="宋体" w:cs="宋体"/>
          <w:b/>
          <w:bCs/>
          <w:spacing w:val="12"/>
          <w:kern w:val="2"/>
          <w:sz w:val="44"/>
          <w:szCs w:val="52"/>
          <w:lang w:val="en-US" w:eastAsia="zh-CN" w:bidi="ar-SA"/>
        </w:rPr>
      </w:pPr>
    </w:p>
    <w:p w14:paraId="2CB3F1B2">
      <w:pPr>
        <w:pStyle w:val="3"/>
        <w:jc w:val="center"/>
        <w:rPr>
          <w:rFonts w:hint="eastAsia" w:ascii="宋体" w:hAnsi="宋体" w:eastAsia="宋体" w:cs="宋体"/>
          <w:b/>
          <w:bCs/>
          <w:spacing w:val="12"/>
          <w:kern w:val="2"/>
          <w:sz w:val="44"/>
          <w:szCs w:val="52"/>
          <w:lang w:val="en-US" w:eastAsia="zh-CN" w:bidi="ar-SA"/>
        </w:rPr>
      </w:pPr>
      <w:r>
        <w:rPr>
          <w:rFonts w:hint="eastAsia" w:ascii="宋体" w:hAnsi="宋体" w:eastAsia="宋体" w:cs="宋体"/>
          <w:b/>
          <w:bCs/>
          <w:spacing w:val="12"/>
          <w:kern w:val="2"/>
          <w:sz w:val="44"/>
          <w:szCs w:val="52"/>
          <w:lang w:val="en-US" w:eastAsia="zh-CN" w:bidi="ar-SA"/>
        </w:rPr>
        <w:t>渭南市“十五五”生态环境保护规划编制项目</w:t>
      </w:r>
    </w:p>
    <w:p w14:paraId="584FE7D5">
      <w:pPr>
        <w:pStyle w:val="3"/>
        <w:rPr>
          <w:rFonts w:hint="eastAsia" w:ascii="宋体" w:hAnsi="宋体" w:eastAsia="宋体" w:cs="宋体"/>
        </w:rPr>
      </w:pPr>
    </w:p>
    <w:p w14:paraId="1BE10E8A">
      <w:pPr>
        <w:pStyle w:val="3"/>
        <w:rPr>
          <w:rFonts w:hint="eastAsia" w:ascii="宋体" w:hAnsi="宋体" w:eastAsia="宋体" w:cs="宋体"/>
        </w:rPr>
      </w:pP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合</w:t>
      </w:r>
      <w:r>
        <w:rPr>
          <w:rFonts w:hint="eastAsia" w:ascii="宋体" w:hAnsi="宋体" w:cs="宋体"/>
          <w:b/>
          <w:bCs/>
          <w:spacing w:val="12"/>
          <w:sz w:val="52"/>
          <w:szCs w:val="52"/>
          <w:lang w:val="en-US" w:eastAsia="zh-CN"/>
        </w:rPr>
        <w:t xml:space="preserve"> </w:t>
      </w:r>
      <w:r>
        <w:rPr>
          <w:rFonts w:hint="eastAsia" w:ascii="宋体" w:hAnsi="宋体" w:eastAsia="宋体" w:cs="宋体"/>
          <w:b/>
          <w:bCs/>
          <w:spacing w:val="12"/>
          <w:sz w:val="52"/>
          <w:szCs w:val="52"/>
        </w:rPr>
        <w:t>同</w:t>
      </w:r>
      <w:r>
        <w:rPr>
          <w:rFonts w:hint="eastAsia" w:ascii="宋体" w:hAnsi="宋体" w:cs="宋体"/>
          <w:b/>
          <w:bCs/>
          <w:spacing w:val="12"/>
          <w:sz w:val="52"/>
          <w:szCs w:val="52"/>
          <w:lang w:val="en-US" w:eastAsia="zh-CN"/>
        </w:rPr>
        <w:t xml:space="preserve"> </w:t>
      </w:r>
      <w:bookmarkStart w:id="7" w:name="_GoBack"/>
      <w:bookmarkEnd w:id="7"/>
      <w:r>
        <w:rPr>
          <w:rFonts w:hint="eastAsia" w:ascii="宋体" w:hAnsi="宋体" w:eastAsia="宋体" w:cs="宋体"/>
          <w:b/>
          <w:bCs/>
          <w:spacing w:val="12"/>
          <w:sz w:val="52"/>
          <w:szCs w:val="52"/>
        </w:rPr>
        <w:t>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3"/>
        <w:rPr>
          <w:rFonts w:hint="eastAsia" w:ascii="宋体" w:hAnsi="宋体" w:eastAsia="宋体" w:cs="宋体"/>
          <w:spacing w:val="12"/>
        </w:rPr>
      </w:pPr>
    </w:p>
    <w:p w14:paraId="1C31F11D">
      <w:pPr>
        <w:pStyle w:val="3"/>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9"/>
        <w:ind w:left="0" w:leftChars="0" w:firstLine="0" w:firstLineChars="0"/>
        <w:rPr>
          <w:rFonts w:hint="eastAsia" w:ascii="宋体" w:hAnsi="宋体" w:eastAsia="宋体" w:cs="宋体"/>
        </w:rPr>
      </w:pPr>
    </w:p>
    <w:p w14:paraId="70218345">
      <w:pPr>
        <w:pStyle w:val="9"/>
        <w:ind w:left="0" w:leftChars="0" w:firstLine="0" w:firstLineChars="0"/>
        <w:rPr>
          <w:rFonts w:hint="eastAsia" w:ascii="宋体" w:hAnsi="宋体" w:eastAsia="宋体" w:cs="宋体"/>
        </w:rPr>
      </w:pPr>
    </w:p>
    <w:p w14:paraId="736D619B">
      <w:pPr>
        <w:pStyle w:val="9"/>
        <w:rPr>
          <w:rFonts w:hint="eastAsia" w:ascii="宋体" w:hAnsi="宋体" w:eastAsia="宋体" w:cs="宋体"/>
        </w:rPr>
      </w:pPr>
    </w:p>
    <w:p w14:paraId="0A00C8A0">
      <w:pPr>
        <w:pStyle w:val="9"/>
        <w:rPr>
          <w:rFonts w:hint="eastAsia" w:ascii="宋体" w:hAnsi="宋体" w:eastAsia="宋体" w:cs="宋体"/>
        </w:rPr>
      </w:pPr>
    </w:p>
    <w:p w14:paraId="0ECB10CE">
      <w:pPr>
        <w:pStyle w:val="9"/>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r>
        <w:rPr>
          <w:rFonts w:hint="eastAsia" w:ascii="宋体" w:hAnsi="宋体" w:eastAsia="宋体" w:cs="宋体"/>
          <w:b/>
          <w:bCs/>
          <w:spacing w:val="12"/>
          <w:sz w:val="28"/>
          <w:szCs w:val="28"/>
          <w:lang w:eastAsia="zh-CN"/>
        </w:rPr>
        <w:t>渭南市生态环境局</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640" w:lineRule="exact"/>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spacing w:line="640" w:lineRule="exac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43C34446">
      <w:pPr>
        <w:spacing w:line="640" w:lineRule="exact"/>
        <w:rPr>
          <w:rFonts w:hint="eastAsia" w:ascii="宋体" w:hAnsi="宋体" w:eastAsia="宋体" w:cs="宋体"/>
          <w:sz w:val="24"/>
          <w:lang w:eastAsia="zh-CN"/>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spacing w:line="640" w:lineRule="exact"/>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cs="宋体"/>
          <w:b/>
          <w:bCs/>
          <w:sz w:val="24"/>
          <w:u w:val="single"/>
          <w:lang w:eastAsia="zh-CN"/>
        </w:rPr>
        <w:t>渭南市“十五五”生态环境保护规划编制项目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2、竞争性磋商文件；</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3、磋商响应文件；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4、成交通知书；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4DB04F4F">
      <w:pPr>
        <w:spacing w:line="360" w:lineRule="auto"/>
        <w:ind w:firstLine="480" w:firstLineChars="200"/>
        <w:rPr>
          <w:rFonts w:hint="default" w:ascii="宋体" w:hAnsi="宋体" w:eastAsia="宋体" w:cs="宋体"/>
          <w:b/>
          <w:bCs/>
          <w:color w:val="auto"/>
          <w:sz w:val="24"/>
          <w:highlight w:val="none"/>
          <w:u w:val="single"/>
          <w:lang w:val="en-US"/>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r>
        <w:rPr>
          <w:rFonts w:hint="eastAsia" w:ascii="宋体" w:hAnsi="宋体" w:eastAsia="宋体" w:cs="宋体"/>
          <w:b/>
          <w:bCs/>
          <w:color w:val="auto"/>
          <w:sz w:val="24"/>
          <w:highlight w:val="none"/>
        </w:rPr>
        <w:t>人民币（大写）</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的人工费、验收费、管理费、保险费、磋商文件明示及暗示所有风险等与本项目有关的所有费用，服务期内采购人不再增加任何费用。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rPr>
        <w:t>三、款项结算</w:t>
      </w:r>
      <w:bookmarkEnd w:id="1"/>
    </w:p>
    <w:p w14:paraId="61EE94B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highlight w:val="none"/>
          <w:lang w:eastAsia="zh-CN"/>
        </w:rPr>
      </w:pPr>
      <w:r>
        <w:rPr>
          <w:rFonts w:hint="eastAsia" w:ascii="宋体" w:hAnsi="宋体" w:eastAsia="宋体" w:cs="宋体"/>
          <w:kern w:val="0"/>
          <w:sz w:val="24"/>
          <w:szCs w:val="21"/>
          <w:highlight w:val="none"/>
        </w:rPr>
        <w:t>（一）合同价款的支付</w:t>
      </w:r>
      <w:r>
        <w:rPr>
          <w:rFonts w:hint="eastAsia" w:ascii="宋体" w:hAnsi="宋体" w:eastAsia="宋体" w:cs="宋体"/>
          <w:b/>
          <w:bCs/>
          <w:kern w:val="0"/>
          <w:sz w:val="24"/>
          <w:szCs w:val="21"/>
          <w:highlight w:val="none"/>
        </w:rPr>
        <w:t>：</w:t>
      </w:r>
      <w:r>
        <w:rPr>
          <w:rFonts w:hint="eastAsia" w:ascii="宋体" w:hAnsi="宋体" w:eastAsia="宋体" w:cs="宋体"/>
          <w:b/>
          <w:bCs/>
          <w:kern w:val="0"/>
          <w:sz w:val="24"/>
          <w:szCs w:val="21"/>
          <w:highlight w:val="none"/>
          <w:lang w:eastAsia="zh-CN"/>
        </w:rPr>
        <w:t>本次服务费根据项目完成进度支付。双方签定合同后向供应商支付合同总价款的40%，供应商完成所有工作内容，最终成果经采购人及相关部门验收合格，采购人付清剩余合同价款。</w:t>
      </w:r>
    </w:p>
    <w:p w14:paraId="4E9A57AF">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highlight w:val="none"/>
        </w:rPr>
      </w:pPr>
      <w:r>
        <w:rPr>
          <w:rFonts w:hint="eastAsia" w:ascii="宋体" w:hAnsi="宋体" w:eastAsia="宋体" w:cs="宋体"/>
          <w:kern w:val="0"/>
          <w:sz w:val="24"/>
          <w:szCs w:val="21"/>
        </w:rPr>
        <w:t>支付方式：由采购人负责结算，合同签订后，供应商在接受付款前，开具</w:t>
      </w:r>
      <w:r>
        <w:rPr>
          <w:rFonts w:hint="eastAsia" w:ascii="宋体" w:hAnsi="宋体" w:eastAsia="宋体" w:cs="宋体"/>
          <w:kern w:val="0"/>
          <w:sz w:val="24"/>
          <w:szCs w:val="21"/>
          <w:highlight w:val="none"/>
        </w:rPr>
        <w:t>等额发票给采购人。</w:t>
      </w:r>
    </w:p>
    <w:p w14:paraId="44E28BB1">
      <w:pPr>
        <w:spacing w:line="360" w:lineRule="auto"/>
        <w:ind w:firstLine="482" w:firstLineChars="200"/>
        <w:rPr>
          <w:rFonts w:hint="default" w:ascii="宋体" w:hAnsi="宋体" w:eastAsia="宋体" w:cs="宋体"/>
          <w:b/>
          <w:sz w:val="24"/>
          <w:highlight w:val="none"/>
          <w:lang w:val="en-US" w:eastAsia="zh-CN"/>
        </w:rPr>
      </w:pPr>
      <w:bookmarkStart w:id="2" w:name="_Toc12029"/>
      <w:r>
        <w:rPr>
          <w:rFonts w:hint="eastAsia" w:ascii="宋体" w:hAnsi="宋体" w:eastAsia="宋体" w:cs="宋体"/>
          <w:b/>
          <w:sz w:val="24"/>
          <w:highlight w:val="none"/>
          <w:lang w:val="en-US" w:eastAsia="zh-CN"/>
        </w:rPr>
        <w:t>四、服务期</w:t>
      </w:r>
      <w:r>
        <w:rPr>
          <w:rFonts w:hint="eastAsia" w:ascii="宋体" w:hAnsi="宋体" w:cs="宋体"/>
          <w:b/>
          <w:sz w:val="24"/>
          <w:highlight w:val="none"/>
          <w:lang w:val="en-US" w:eastAsia="zh-CN"/>
        </w:rPr>
        <w:t>及服务地点</w:t>
      </w:r>
    </w:p>
    <w:p w14:paraId="069012E3">
      <w:pPr>
        <w:spacing w:line="360" w:lineRule="auto"/>
        <w:ind w:firstLine="482" w:firstLineChars="200"/>
        <w:rPr>
          <w:rFonts w:hint="default" w:ascii="宋体" w:hAnsi="宋体" w:eastAsia="宋体" w:cs="宋体"/>
          <w:b/>
          <w:sz w:val="24"/>
          <w:highlight w:val="none"/>
          <w:lang w:val="en-US" w:eastAsia="zh-CN"/>
        </w:rPr>
      </w:pPr>
      <w:r>
        <w:rPr>
          <w:rFonts w:hint="eastAsia" w:ascii="宋体" w:hAnsi="宋体" w:eastAsia="宋体" w:cs="宋体"/>
          <w:b/>
          <w:sz w:val="24"/>
          <w:highlight w:val="none"/>
          <w:lang w:val="en-US" w:eastAsia="zh-CN"/>
        </w:rPr>
        <w:t>服务期</w:t>
      </w:r>
      <w:r>
        <w:rPr>
          <w:rFonts w:hint="eastAsia" w:ascii="宋体" w:hAnsi="宋体" w:cs="宋体"/>
          <w:b/>
          <w:sz w:val="24"/>
          <w:highlight w:val="none"/>
          <w:lang w:val="en-US" w:eastAsia="zh-CN"/>
        </w:rPr>
        <w:t>：</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none"/>
          <w:lang w:val="en-US" w:eastAsia="zh-CN"/>
        </w:rPr>
        <w:t xml:space="preserve"> ；服务地点：</w:t>
      </w:r>
      <w:r>
        <w:rPr>
          <w:rFonts w:hint="eastAsia" w:ascii="宋体" w:hAnsi="宋体" w:cs="宋体"/>
          <w:b/>
          <w:sz w:val="24"/>
          <w:highlight w:val="none"/>
          <w:u w:val="single"/>
          <w:lang w:val="en-US" w:eastAsia="zh-CN"/>
        </w:rPr>
        <w:t xml:space="preserve">               </w:t>
      </w:r>
      <w:r>
        <w:rPr>
          <w:rFonts w:hint="eastAsia" w:ascii="宋体" w:hAnsi="宋体" w:cs="宋体"/>
          <w:b/>
          <w:sz w:val="24"/>
          <w:highlight w:val="none"/>
          <w:u w:val="none"/>
          <w:lang w:val="en-US" w:eastAsia="zh-CN"/>
        </w:rPr>
        <w:t>。</w:t>
      </w:r>
      <w:r>
        <w:rPr>
          <w:rFonts w:hint="eastAsia" w:ascii="宋体" w:hAnsi="宋体" w:eastAsia="宋体" w:cs="宋体"/>
          <w:b w:val="0"/>
          <w:bCs w:val="0"/>
          <w:sz w:val="24"/>
          <w:highlight w:val="none"/>
          <w:u w:val="none"/>
          <w:lang w:val="en-US" w:eastAsia="zh-CN"/>
        </w:rPr>
        <w:t xml:space="preserve">  </w:t>
      </w:r>
      <w:r>
        <w:rPr>
          <w:rFonts w:hint="eastAsia" w:ascii="宋体" w:hAnsi="宋体" w:eastAsia="宋体" w:cs="宋体"/>
          <w:b/>
          <w:sz w:val="24"/>
          <w:highlight w:val="none"/>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3" w:name="_Hlk73203142"/>
      <w:r>
        <w:rPr>
          <w:rFonts w:hint="eastAsia" w:ascii="宋体" w:hAnsi="宋体" w:eastAsia="宋体" w:cs="宋体"/>
          <w:kern w:val="0"/>
          <w:sz w:val="24"/>
          <w:szCs w:val="21"/>
          <w:highlight w:val="none"/>
        </w:rPr>
        <w:t>供应商</w:t>
      </w:r>
      <w:bookmarkEnd w:id="3"/>
      <w:r>
        <w:rPr>
          <w:rFonts w:hint="eastAsia" w:ascii="宋体" w:hAnsi="宋体" w:eastAsia="宋体" w:cs="宋体"/>
          <w:kern w:val="0"/>
          <w:sz w:val="24"/>
          <w:szCs w:val="21"/>
          <w:highlight w:val="none"/>
        </w:rPr>
        <w:t>应按磋商文件规定的时间向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4"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4"/>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5"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5"/>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7A94BAC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bookmarkStart w:id="6" w:name="_Toc534"/>
      <w:r>
        <w:rPr>
          <w:rFonts w:hint="eastAsia" w:ascii="宋体" w:hAnsi="宋体" w:cs="宋体"/>
          <w:b w:val="0"/>
          <w:bCs w:val="0"/>
          <w:kern w:val="0"/>
          <w:sz w:val="24"/>
          <w:szCs w:val="21"/>
          <w:lang w:val="en-US" w:eastAsia="zh-CN"/>
        </w:rPr>
        <w:t>1</w:t>
      </w:r>
      <w:r>
        <w:rPr>
          <w:rFonts w:hint="eastAsia" w:ascii="宋体" w:hAnsi="宋体" w:eastAsia="宋体" w:cs="宋体"/>
          <w:b w:val="0"/>
          <w:bCs w:val="0"/>
          <w:kern w:val="0"/>
          <w:sz w:val="24"/>
          <w:szCs w:val="21"/>
        </w:rPr>
        <w:t>.成交后，供应商派驻一名项目负责人，一名技术负责人对作业过程中作业进度、服务质量、作业人员管理进行总协调，确保技术措施的落实，按时参加采购人组织的相关会议和活动，服从采购人的工作制度和工作规范。</w:t>
      </w:r>
    </w:p>
    <w:p w14:paraId="2A0C846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cs="宋体"/>
          <w:b w:val="0"/>
          <w:bCs w:val="0"/>
          <w:kern w:val="0"/>
          <w:sz w:val="24"/>
          <w:szCs w:val="21"/>
          <w:lang w:val="en-US" w:eastAsia="zh-CN"/>
        </w:rPr>
        <w:t>2</w:t>
      </w:r>
      <w:r>
        <w:rPr>
          <w:rFonts w:hint="eastAsia" w:ascii="宋体" w:hAnsi="宋体" w:eastAsia="宋体" w:cs="宋体"/>
          <w:b w:val="0"/>
          <w:bCs w:val="0"/>
          <w:kern w:val="0"/>
          <w:sz w:val="24"/>
          <w:szCs w:val="21"/>
        </w:rPr>
        <w:t>.成交后，供应商向采购人提供项目作业计划和安全责任协议等，其内容包括管理机构的设置、各主要岗位的技术和管理员名单、资质、联系方式及各工种技术工人的安排、项目实施进度安排、技术措施等状况。</w:t>
      </w:r>
    </w:p>
    <w:p w14:paraId="2D413B8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cs="宋体"/>
          <w:b w:val="0"/>
          <w:bCs w:val="0"/>
          <w:kern w:val="0"/>
          <w:sz w:val="24"/>
          <w:szCs w:val="21"/>
          <w:lang w:val="en-US" w:eastAsia="zh-CN"/>
        </w:rPr>
        <w:t>3</w:t>
      </w:r>
      <w:r>
        <w:rPr>
          <w:rFonts w:hint="eastAsia" w:ascii="宋体" w:hAnsi="宋体" w:eastAsia="宋体" w:cs="宋体"/>
          <w:b w:val="0"/>
          <w:bCs w:val="0"/>
          <w:kern w:val="0"/>
          <w:sz w:val="24"/>
          <w:szCs w:val="21"/>
        </w:rPr>
        <w:t>.协助采购人及时组织召开检查验收、</w:t>
      </w:r>
      <w:r>
        <w:rPr>
          <w:rFonts w:hint="eastAsia" w:ascii="宋体" w:hAnsi="宋体" w:cs="宋体"/>
          <w:b w:val="0"/>
          <w:bCs w:val="0"/>
          <w:kern w:val="0"/>
          <w:sz w:val="24"/>
          <w:szCs w:val="21"/>
          <w:lang w:val="en-US" w:eastAsia="zh-CN"/>
        </w:rPr>
        <w:t>服务</w:t>
      </w:r>
      <w:r>
        <w:rPr>
          <w:rFonts w:hint="eastAsia" w:ascii="宋体" w:hAnsi="宋体" w:eastAsia="宋体" w:cs="宋体"/>
          <w:b w:val="0"/>
          <w:bCs w:val="0"/>
          <w:kern w:val="0"/>
          <w:sz w:val="24"/>
          <w:szCs w:val="21"/>
        </w:rPr>
        <w:t>效果评价和完工验收工作会议。</w:t>
      </w:r>
    </w:p>
    <w:p w14:paraId="4EA2E16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cs="宋体"/>
          <w:b w:val="0"/>
          <w:bCs w:val="0"/>
          <w:kern w:val="0"/>
          <w:sz w:val="24"/>
          <w:szCs w:val="21"/>
          <w:lang w:val="en-US" w:eastAsia="zh-CN"/>
        </w:rPr>
        <w:t>4</w:t>
      </w:r>
      <w:r>
        <w:rPr>
          <w:rFonts w:hint="eastAsia" w:ascii="宋体" w:hAnsi="宋体" w:eastAsia="宋体" w:cs="宋体"/>
          <w:b w:val="0"/>
          <w:bCs w:val="0"/>
          <w:kern w:val="0"/>
          <w:sz w:val="24"/>
          <w:szCs w:val="21"/>
        </w:rPr>
        <w:t>.成交供应商向采购人提交服务过程性资料和报告，按相关要求执行。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cs="宋体"/>
          <w:b w:val="0"/>
          <w:bCs w:val="0"/>
          <w:kern w:val="0"/>
          <w:sz w:val="24"/>
          <w:szCs w:val="21"/>
          <w:lang w:val="en-US" w:eastAsia="zh-CN"/>
        </w:rPr>
        <w:t>5</w:t>
      </w:r>
      <w:r>
        <w:rPr>
          <w:rFonts w:hint="eastAsia" w:ascii="宋体" w:hAnsi="宋体" w:eastAsia="宋体" w:cs="宋体"/>
          <w:b w:val="0"/>
          <w:bCs w:val="0"/>
          <w:kern w:val="0"/>
          <w:sz w:val="24"/>
          <w:szCs w:val="21"/>
        </w:rPr>
        <w:t>.有各类突发事件的应急预案和措施，有明确具体的承诺。</w:t>
      </w:r>
    </w:p>
    <w:bookmarkEnd w:id="6"/>
    <w:p w14:paraId="4D1B9530">
      <w:pPr>
        <w:numPr>
          <w:ilvl w:val="0"/>
          <w:numId w:val="0"/>
        </w:numPr>
        <w:autoSpaceDE w:val="0"/>
        <w:autoSpaceDN w:val="0"/>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02D46522">
      <w:pPr>
        <w:autoSpaceDE w:val="0"/>
        <w:autoSpaceDN w:val="0"/>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质量标准：达到国家及行业验收合格标准。</w:t>
      </w:r>
    </w:p>
    <w:p w14:paraId="072DBF6C">
      <w:pPr>
        <w:autoSpaceDE w:val="0"/>
        <w:autoSpaceDN w:val="0"/>
        <w:adjustRightInd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2</w:t>
      </w:r>
      <w:r>
        <w:rPr>
          <w:rFonts w:hint="eastAsia" w:ascii="宋体" w:hAnsi="宋体" w:eastAsia="宋体" w:cs="宋体"/>
          <w:bCs/>
          <w:sz w:val="24"/>
          <w:highlight w:val="none"/>
          <w:lang w:eastAsia="zh-CN"/>
        </w:rPr>
        <w:t>.</w:t>
      </w:r>
      <w:r>
        <w:rPr>
          <w:rFonts w:hint="eastAsia" w:ascii="宋体" w:hAnsi="宋体" w:eastAsia="宋体" w:cs="宋体"/>
          <w:bCs/>
          <w:sz w:val="24"/>
          <w:highlight w:val="none"/>
        </w:rPr>
        <w:t>本项目由采购人及相关部门</w:t>
      </w:r>
      <w:r>
        <w:rPr>
          <w:rFonts w:hint="eastAsia" w:ascii="宋体" w:hAnsi="宋体" w:cs="宋体"/>
          <w:bCs/>
          <w:sz w:val="24"/>
          <w:highlight w:val="none"/>
          <w:lang w:val="en-US" w:eastAsia="zh-CN"/>
        </w:rPr>
        <w:t>在</w:t>
      </w:r>
      <w:r>
        <w:rPr>
          <w:rFonts w:hint="eastAsia" w:ascii="宋体" w:hAnsi="宋体" w:eastAsia="宋体" w:cs="宋体"/>
          <w:bCs/>
          <w:sz w:val="24"/>
          <w:highlight w:val="none"/>
        </w:rPr>
        <w:t>项目</w:t>
      </w:r>
      <w:r>
        <w:rPr>
          <w:rFonts w:hint="eastAsia" w:ascii="宋体" w:hAnsi="宋体" w:cs="宋体"/>
          <w:bCs/>
          <w:sz w:val="24"/>
          <w:highlight w:val="none"/>
          <w:lang w:val="en-US" w:eastAsia="zh-CN"/>
        </w:rPr>
        <w:t>完成后</w:t>
      </w:r>
      <w:r>
        <w:rPr>
          <w:rFonts w:hint="eastAsia" w:ascii="宋体" w:hAnsi="宋体" w:eastAsia="宋体" w:cs="宋体"/>
          <w:bCs/>
          <w:sz w:val="24"/>
          <w:highlight w:val="none"/>
        </w:rPr>
        <w:t>进行</w:t>
      </w:r>
      <w:r>
        <w:rPr>
          <w:rFonts w:hint="eastAsia" w:ascii="宋体" w:hAnsi="宋体" w:cs="宋体"/>
          <w:bCs/>
          <w:sz w:val="24"/>
          <w:highlight w:val="none"/>
          <w:lang w:val="en-US" w:eastAsia="zh-CN"/>
        </w:rPr>
        <w:t>一次</w:t>
      </w:r>
      <w:r>
        <w:rPr>
          <w:rFonts w:hint="eastAsia" w:ascii="宋体" w:hAnsi="宋体" w:eastAsia="宋体" w:cs="宋体"/>
          <w:bCs/>
          <w:sz w:val="24"/>
          <w:highlight w:val="none"/>
        </w:rPr>
        <w:t>性验收。</w:t>
      </w:r>
    </w:p>
    <w:p w14:paraId="7A10B06C">
      <w:pPr>
        <w:autoSpaceDE w:val="0"/>
        <w:autoSpaceDN w:val="0"/>
        <w:adjustRightInd w:val="0"/>
        <w:snapToGrid w:val="0"/>
        <w:spacing w:line="360" w:lineRule="auto"/>
        <w:ind w:firstLine="480" w:firstLineChars="200"/>
        <w:rPr>
          <w:rFonts w:hint="eastAsia" w:ascii="宋体" w:hAnsi="宋体" w:eastAsia="宋体" w:cs="宋体"/>
          <w:bCs/>
          <w:sz w:val="24"/>
          <w:highlight w:val="yellow"/>
        </w:rPr>
      </w:pPr>
      <w:r>
        <w:rPr>
          <w:rFonts w:hint="eastAsia" w:ascii="宋体" w:hAnsi="宋体" w:eastAsia="宋体" w:cs="宋体"/>
          <w:bCs/>
          <w:sz w:val="24"/>
          <w:highlight w:val="none"/>
          <w:lang w:val="en-US" w:eastAsia="zh-CN"/>
        </w:rPr>
        <w:t>3</w:t>
      </w:r>
      <w:r>
        <w:rPr>
          <w:rFonts w:hint="eastAsia" w:ascii="宋体" w:hAnsi="宋体" w:eastAsia="宋体" w:cs="宋体"/>
          <w:bCs/>
          <w:sz w:val="24"/>
          <w:highlight w:val="none"/>
          <w:lang w:eastAsia="zh-CN"/>
        </w:rPr>
        <w:t>.</w:t>
      </w:r>
      <w:r>
        <w:rPr>
          <w:rFonts w:hint="eastAsia" w:ascii="宋体" w:hAnsi="宋体" w:eastAsia="宋体" w:cs="宋体"/>
          <w:bCs/>
          <w:sz w:val="24"/>
          <w:highlight w:val="none"/>
        </w:rPr>
        <w:t>验收标准：按</w:t>
      </w:r>
      <w:r>
        <w:rPr>
          <w:rFonts w:hint="eastAsia" w:ascii="宋体" w:hAnsi="宋体" w:eastAsia="宋体" w:cs="宋体"/>
          <w:bCs/>
          <w:sz w:val="24"/>
          <w:highlight w:val="none"/>
          <w:lang w:val="en-US" w:eastAsia="zh-CN"/>
        </w:rPr>
        <w:t>磋商</w:t>
      </w:r>
      <w:r>
        <w:rPr>
          <w:rFonts w:hint="eastAsia" w:ascii="宋体" w:hAnsi="宋体" w:eastAsia="宋体" w:cs="宋体"/>
          <w:bCs/>
          <w:sz w:val="24"/>
          <w:highlight w:val="none"/>
        </w:rPr>
        <w:t>文件、</w:t>
      </w:r>
      <w:r>
        <w:rPr>
          <w:rFonts w:hint="eastAsia" w:ascii="宋体" w:hAnsi="宋体" w:eastAsia="宋体" w:cs="宋体"/>
          <w:bCs/>
          <w:sz w:val="24"/>
          <w:highlight w:val="none"/>
          <w:lang w:val="en-US" w:eastAsia="zh-CN"/>
        </w:rPr>
        <w:t>响应</w:t>
      </w:r>
      <w:r>
        <w:rPr>
          <w:rFonts w:hint="eastAsia" w:ascii="宋体" w:hAnsi="宋体" w:eastAsia="宋体" w:cs="宋体"/>
          <w:bCs/>
          <w:sz w:val="24"/>
          <w:highlight w:val="none"/>
        </w:rPr>
        <w:t>文件及澄清函、项目检查情况等综合指标进行验收。各项指标均应符合验收标准及要求。</w:t>
      </w:r>
    </w:p>
    <w:p w14:paraId="1C433401">
      <w:pPr>
        <w:autoSpaceDE w:val="0"/>
        <w:autoSpaceDN w:val="0"/>
        <w:adjustRightInd w:val="0"/>
        <w:snapToGrid w:val="0"/>
        <w:spacing w:line="360" w:lineRule="auto"/>
        <w:ind w:firstLine="480" w:firstLineChars="200"/>
        <w:rPr>
          <w:rFonts w:hint="eastAsia" w:ascii="宋体" w:hAnsi="宋体" w:eastAsia="宋体" w:cs="宋体"/>
          <w:b/>
          <w:sz w:val="24"/>
          <w:lang w:val="en-US" w:eastAsia="zh-CN"/>
        </w:rPr>
      </w:pPr>
      <w:r>
        <w:rPr>
          <w:rFonts w:hint="eastAsia" w:ascii="宋体" w:hAnsi="宋体" w:eastAsia="宋体" w:cs="宋体"/>
          <w:bCs/>
          <w:sz w:val="24"/>
          <w:highlight w:val="none"/>
          <w:lang w:val="en-US" w:eastAsia="zh-CN"/>
        </w:rPr>
        <w:t>4.</w:t>
      </w:r>
      <w:r>
        <w:rPr>
          <w:rFonts w:hint="eastAsia" w:ascii="宋体" w:hAnsi="宋体" w:eastAsia="宋体" w:cs="宋体"/>
          <w:bCs/>
          <w:sz w:val="24"/>
          <w:highlight w:val="none"/>
        </w:rPr>
        <w:t>结算：项目完成后，达到验收标准，验收合格后甲方付款前，</w:t>
      </w:r>
      <w:r>
        <w:rPr>
          <w:rFonts w:hint="eastAsia" w:ascii="宋体" w:hAnsi="宋体" w:eastAsia="宋体" w:cs="宋体"/>
          <w:bCs/>
          <w:sz w:val="24"/>
          <w:highlight w:val="none"/>
          <w:lang w:val="en-US" w:eastAsia="zh-CN"/>
        </w:rPr>
        <w:t>供应商</w:t>
      </w:r>
      <w:r>
        <w:rPr>
          <w:rFonts w:hint="eastAsia" w:ascii="宋体" w:hAnsi="宋体" w:eastAsia="宋体" w:cs="宋体"/>
          <w:bCs/>
          <w:sz w:val="24"/>
          <w:highlight w:val="none"/>
        </w:rPr>
        <w:t>应按约定提供合规增值税发票，否则甲方有权拒绝付款且不因此承担任何违约责任。</w:t>
      </w:r>
    </w:p>
    <w:p w14:paraId="0CB24F9F">
      <w:pPr>
        <w:numPr>
          <w:ilvl w:val="0"/>
          <w:numId w:val="0"/>
        </w:numPr>
        <w:autoSpaceDE w:val="0"/>
        <w:autoSpaceDN w:val="0"/>
        <w:adjustRightInd w:val="0"/>
        <w:snapToGrid w:val="0"/>
        <w:spacing w:line="360" w:lineRule="auto"/>
        <w:ind w:firstLine="482" w:firstLineChars="200"/>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二</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2"/>
        <w:rPr>
          <w:rFonts w:hint="eastAsia" w:ascii="宋体" w:hAnsi="宋体" w:eastAsia="宋体" w:cs="宋体"/>
          <w:spacing w:val="-8"/>
          <w:kern w:val="0"/>
          <w:sz w:val="24"/>
          <w:szCs w:val="21"/>
        </w:rPr>
      </w:pPr>
    </w:p>
    <w:p w14:paraId="7CAFF422">
      <w:pPr>
        <w:pStyle w:val="2"/>
        <w:rPr>
          <w:rFonts w:hint="eastAsia"/>
        </w:rPr>
      </w:pPr>
    </w:p>
    <w:p w14:paraId="49BF39A2">
      <w:pPr>
        <w:pStyle w:val="2"/>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2"/>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2"/>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463"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47876"/>
    <w:multiLevelType w:val="singleLevel"/>
    <w:tmpl w:val="B88478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32D2C0D"/>
    <w:rsid w:val="09546BC2"/>
    <w:rsid w:val="255319C3"/>
    <w:rsid w:val="452C37C8"/>
    <w:rsid w:val="6D044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iPriority w:val="99"/>
    <w:rPr>
      <w:color w:val="993300"/>
      <w:sz w:val="24"/>
    </w:rPr>
  </w:style>
  <w:style w:type="paragraph" w:styleId="3">
    <w:name w:val="Normal Indent"/>
    <w:basedOn w:val="1"/>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Body Text First Indent 2"/>
    <w:basedOn w:val="4"/>
    <w:qFormat/>
    <w:uiPriority w:val="0"/>
    <w:pPr>
      <w:ind w:firstLine="420"/>
    </w:p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2248</Words>
  <Characters>2281</Characters>
  <Lines>0</Lines>
  <Paragraphs>0</Paragraphs>
  <TotalTime>8</TotalTime>
  <ScaleCrop>false</ScaleCrop>
  <LinksUpToDate>false</LinksUpToDate>
  <CharactersWithSpaces>2523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琥珀</cp:lastModifiedBy>
  <dcterms:modified xsi:type="dcterms:W3CDTF">2025-12-12T08:36:17Z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D1EFC0AF08A14CABA586F890E04936C5_11</vt:lpwstr>
  </property>
  <property fmtid="{D5CDD505-2E9C-101B-9397-08002B2CF9AE}" pid="4" name="KSOTemplateDocerSaveRecord">
    <vt:lpwstr>eyJoZGlkIjoiMmU1OTkzMmM4YmJjNTA4ZTVlNjBiODExOWZjZjRlY2MiLCJ1c2VySWQiOiIyNDExOTAxMzUifQ==</vt:lpwstr>
  </property>
</Properties>
</file>