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版本号：ZCSP-渭南市-2025-0089020251218001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渭南市2021-2024年度温室气体排放清单编制项目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ZCSP-渭南市-2025-00890</w:t>
      </w:r>
      <w:r>
        <w:br/>
      </w:r>
      <w:r>
        <w:br/>
      </w:r>
      <w:r>
        <w:br/>
      </w:r>
    </w:p>
    <w:p>
      <w:pPr>
        <w:pStyle w:val="null3"/>
        <w:jc w:val="center"/>
        <w:outlineLvl w:val="2"/>
      </w:pPr>
      <w:r>
        <w:rPr>
          <w:rFonts w:ascii="仿宋_GB2312" w:hAnsi="仿宋_GB2312" w:cs="仿宋_GB2312" w:eastAsia="仿宋_GB2312"/>
          <w:sz w:val="28"/>
          <w:b/>
        </w:rPr>
        <w:t>渭南市环境科学研究中心</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渭南市环境科学研究中心</w:t>
      </w:r>
      <w:r>
        <w:rPr>
          <w:rFonts w:ascii="仿宋_GB2312" w:hAnsi="仿宋_GB2312" w:cs="仿宋_GB2312" w:eastAsia="仿宋_GB2312"/>
        </w:rPr>
        <w:t>委托，拟对</w:t>
      </w:r>
      <w:r>
        <w:rPr>
          <w:rFonts w:ascii="仿宋_GB2312" w:hAnsi="仿宋_GB2312" w:cs="仿宋_GB2312" w:eastAsia="仿宋_GB2312"/>
        </w:rPr>
        <w:t>渭南市2021-2024年度温室气体排放清单编制项目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ZCSP-渭南市-2025-00890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渭南市2021-2024年度温室气体排放清单编制项目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完成渭南市2021-2024年温室气体排放清单，同时提供2025年温室气体排放清单。排放清单覆盖能源活动、工业生产过程、农业活动、土地利用变化和林业、废弃物处理等五大领域，系统核算我市温室气体排放总量、结构与趋势，识别重点排放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采购包1（渭南市2021-2024年温室气体排放清单编制项目）：属于专门面向中小企业采购。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具有良好的商业信誉和健全的财务会计制度：提供2024年度的财务审计报告（成立时间至提交响应文件截止时间不足一年的可提供成立后任意时段的资产负债表），或其基本存款账户开户银行出具的资信证明及基本存款账户开户许可证，或财政部门认可的政府采购专业担保机构出具的担保函；</w:t>
      </w:r>
    </w:p>
    <w:p>
      <w:pPr>
        <w:pStyle w:val="null3"/>
      </w:pPr>
      <w:r>
        <w:rPr>
          <w:rFonts w:ascii="仿宋_GB2312" w:hAnsi="仿宋_GB2312" w:cs="仿宋_GB2312" w:eastAsia="仿宋_GB2312"/>
        </w:rPr>
        <w:t>3、税收缴纳证明：提供响应文件递交截止时间前6个月内任意一个月的缴费凭据，依法免税的单位应提供相关证明材料；</w:t>
      </w:r>
    </w:p>
    <w:p>
      <w:pPr>
        <w:pStyle w:val="null3"/>
      </w:pPr>
      <w:r>
        <w:rPr>
          <w:rFonts w:ascii="仿宋_GB2312" w:hAnsi="仿宋_GB2312" w:cs="仿宋_GB2312" w:eastAsia="仿宋_GB2312"/>
        </w:rPr>
        <w:t>4、社会保障资金缴纳证明：提供响应文件递交截止时间前6个月内任意一个月的社会保障资金缴存单据或社保机构开具的社会保险参保缴费情况证明，依法不需要缴纳社会保障资金的单位应提供相关证明材料；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5、无重大违法记录声明：供应商需提供参加政府采购活动近3年内在经营活动中没有重大违法纪录的书面声明；</w:t>
      </w:r>
    </w:p>
    <w:p>
      <w:pPr>
        <w:pStyle w:val="null3"/>
      </w:pPr>
      <w:r>
        <w:rPr>
          <w:rFonts w:ascii="仿宋_GB2312" w:hAnsi="仿宋_GB2312" w:cs="仿宋_GB2312" w:eastAsia="仿宋_GB2312"/>
        </w:rPr>
        <w:t>6、履行合同承诺书：提供具有履行合同所必需的设备和专业技术能力的承诺书。</w:t>
      </w:r>
    </w:p>
    <w:p>
      <w:pPr>
        <w:pStyle w:val="null3"/>
      </w:pPr>
      <w:r>
        <w:rPr>
          <w:rFonts w:ascii="仿宋_GB2312" w:hAnsi="仿宋_GB2312" w:cs="仿宋_GB2312" w:eastAsia="仿宋_GB2312"/>
        </w:rPr>
        <w:t>7、信誉情况：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9、磋商保证金交纳凭证：保证金已按采购文件要求交纳</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渭南市环境科学研究中心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渭南市朝阳大街中段市环保局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渭南市环境科学研究中心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0913-2072972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渭南市仓程路南段临渭区教育局紫金阁小区 10 楼 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邱佳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18791897101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开户名称：陕西恒瑞项目管理有限公司</w:t>
            </w:r>
          </w:p>
          <w:p>
            <w:pPr>
              <w:pStyle w:val="null3"/>
            </w:pPr>
            <w:r>
              <w:rPr>
                <w:rFonts w:ascii="仿宋_GB2312" w:hAnsi="仿宋_GB2312" w:cs="仿宋_GB2312" w:eastAsia="仿宋_GB2312"/>
              </w:rPr>
              <w:t>开户银行：中国农业银行股份有限公司西安雁翔路支行</w:t>
            </w:r>
          </w:p>
          <w:p>
            <w:pPr>
              <w:pStyle w:val="null3"/>
            </w:pPr>
            <w:r>
              <w:rPr>
                <w:rFonts w:ascii="仿宋_GB2312" w:hAnsi="仿宋_GB2312" w:cs="仿宋_GB2312" w:eastAsia="仿宋_GB2312"/>
              </w:rPr>
              <w:t>银行账号：26136101040001045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按照《国家发展改革委关于进一步放开建设项目专业服务价格的通知》（发改价格﹝2015﹞299号）的要求，参照《招标代理服务收费管理暂行办法》（国家发改委计价格〔2002〕1980号）以及国家发改价格〔2011〕534号文件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渭南市环境科学研究中心</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渭南市环境科学研究中心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渭南市环境科学研究中心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联系人：邱佳</w:t>
      </w:r>
    </w:p>
    <w:p>
      <w:pPr>
        <w:pStyle w:val="null3"/>
      </w:pPr>
      <w:r>
        <w:rPr>
          <w:rFonts w:ascii="仿宋_GB2312" w:hAnsi="仿宋_GB2312" w:cs="仿宋_GB2312" w:eastAsia="仿宋_GB2312"/>
        </w:rPr>
        <w:t>联系电话：18791897101</w:t>
      </w:r>
    </w:p>
    <w:p>
      <w:pPr>
        <w:pStyle w:val="null3"/>
      </w:pPr>
      <w:r>
        <w:rPr>
          <w:rFonts w:ascii="仿宋_GB2312" w:hAnsi="仿宋_GB2312" w:cs="仿宋_GB2312" w:eastAsia="仿宋_GB2312"/>
        </w:rPr>
        <w:t>地址：渭南市仓程路南段临渭区教育局紫金阁小区 10 楼 1001 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完成渭南市2021-2024年温室气体排放清单，同时提供2025年温室气体排放清单。排放清单覆盖能源活动、工业生产过程、农业活动、土地利用变化和林业、废弃物处理等五大领域，系统核算我市温室气体排放总量、结构与趋势，识别重点排放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渭南市2021-2024年度温室气体排放清单编制项目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标的名称：渭南市2021-2024年度温室气体排放清单编制项目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 xml:space="preserve">   采购内容：</w:t>
            </w:r>
          </w:p>
          <w:p>
            <w:pPr>
              <w:pStyle w:val="null3"/>
              <w:spacing w:before="105" w:after="105"/>
              <w:ind w:firstLine="480"/>
              <w:jc w:val="both"/>
            </w:pPr>
            <w:r>
              <w:rPr>
                <w:rFonts w:ascii="仿宋_GB2312" w:hAnsi="仿宋_GB2312" w:cs="仿宋_GB2312" w:eastAsia="仿宋_GB2312"/>
                <w:sz w:val="24"/>
                <w:color w:val="000000"/>
              </w:rPr>
              <w:t>依据《渭南市财政局关于下达</w:t>
            </w:r>
            <w:r>
              <w:rPr>
                <w:rFonts w:ascii="仿宋_GB2312" w:hAnsi="仿宋_GB2312" w:cs="仿宋_GB2312" w:eastAsia="仿宋_GB2312"/>
                <w:sz w:val="24"/>
                <w:color w:val="000000"/>
              </w:rPr>
              <w:t>2025年市级生态环境专项（第二批）资金预算的通知》（渭财办预〔2025〕743号），拟实施渭南市2021-2024年温室气体排放清单编制项目。编制完成渭南市2021-2024年温室气体排放清单，同时提供2025年温室气体排放清单。排放清单覆盖能源活动、工业生产过程、农业活动、土地利用变化和林业、废弃物处理等五大领域，系统核算我市温室气体排放总量、结构与趋势，识别重点排放源。</w:t>
            </w:r>
          </w:p>
          <w:p>
            <w:pPr>
              <w:pStyle w:val="null3"/>
              <w:spacing w:before="105" w:after="105"/>
              <w:ind w:firstLine="480"/>
              <w:jc w:val="both"/>
            </w:pPr>
            <w:r>
              <w:rPr>
                <w:rFonts w:ascii="仿宋_GB2312" w:hAnsi="仿宋_GB2312" w:cs="仿宋_GB2312" w:eastAsia="仿宋_GB2312"/>
                <w:sz w:val="24"/>
                <w:color w:val="000000"/>
              </w:rPr>
              <w:t>需满足的需求：</w:t>
            </w:r>
          </w:p>
          <w:p>
            <w:pPr>
              <w:pStyle w:val="null3"/>
              <w:spacing w:before="105" w:after="105"/>
              <w:ind w:firstLine="480"/>
              <w:jc w:val="both"/>
            </w:pPr>
            <w:r>
              <w:rPr>
                <w:rFonts w:ascii="仿宋_GB2312" w:hAnsi="仿宋_GB2312" w:cs="仿宋_GB2312" w:eastAsia="仿宋_GB2312"/>
                <w:sz w:val="24"/>
                <w:color w:val="000000"/>
              </w:rPr>
              <w:t>全面掌握渭南市</w:t>
            </w:r>
            <w:r>
              <w:rPr>
                <w:rFonts w:ascii="仿宋_GB2312" w:hAnsi="仿宋_GB2312" w:cs="仿宋_GB2312" w:eastAsia="仿宋_GB2312"/>
                <w:sz w:val="24"/>
                <w:color w:val="000000"/>
              </w:rPr>
              <w:t>2021-2025年温室气体排放总量和能源活动、工业生产过程、农业活动、土地利用变化和林业、废弃物处理等五大领域温室气体排放情况，摸清全域温室气体排放家底和结构趋势。</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实施范围：</w:t>
            </w:r>
          </w:p>
          <w:p>
            <w:pPr>
              <w:pStyle w:val="null3"/>
              <w:jc w:val="left"/>
            </w:pPr>
            <w:r>
              <w:rPr>
                <w:rFonts w:ascii="仿宋_GB2312" w:hAnsi="仿宋_GB2312" w:cs="仿宋_GB2312" w:eastAsia="仿宋_GB2312"/>
                <w:sz w:val="24"/>
                <w:color w:val="000000"/>
              </w:rPr>
              <w:t xml:space="preserve">   本项目实施地点为渭南市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05" w:after="105"/>
              <w:ind w:firstLine="480"/>
              <w:jc w:val="both"/>
            </w:pPr>
            <w:r>
              <w:rPr>
                <w:rFonts w:ascii="仿宋_GB2312" w:hAnsi="仿宋_GB2312" w:cs="仿宋_GB2312" w:eastAsia="仿宋_GB2312"/>
                <w:sz w:val="24"/>
                <w:color w:val="000000"/>
              </w:rPr>
              <w:t>提交</w:t>
            </w:r>
            <w:r>
              <w:rPr>
                <w:rFonts w:ascii="仿宋_GB2312" w:hAnsi="仿宋_GB2312" w:cs="仿宋_GB2312" w:eastAsia="仿宋_GB2312"/>
                <w:sz w:val="24"/>
                <w:color w:val="000000"/>
              </w:rPr>
              <w:t>项目成果：</w:t>
            </w:r>
          </w:p>
          <w:p>
            <w:pPr>
              <w:pStyle w:val="null3"/>
              <w:spacing w:before="105" w:after="105"/>
              <w:ind w:firstLine="480"/>
              <w:jc w:val="both"/>
            </w:pPr>
            <w:r>
              <w:rPr>
                <w:rFonts w:ascii="仿宋_GB2312" w:hAnsi="仿宋_GB2312" w:cs="仿宋_GB2312" w:eastAsia="仿宋_GB2312"/>
                <w:sz w:val="24"/>
                <w:color w:val="000000"/>
              </w:rPr>
              <w:t>《渭南市温室气体排放清单报告（</w:t>
            </w:r>
            <w:r>
              <w:rPr>
                <w:rFonts w:ascii="仿宋_GB2312" w:hAnsi="仿宋_GB2312" w:cs="仿宋_GB2312" w:eastAsia="仿宋_GB2312"/>
                <w:sz w:val="24"/>
                <w:color w:val="000000"/>
              </w:rPr>
              <w:t>2021-2025年）》1份、渭南市2021-2025年温室气体排放清单数据表1套。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保密性要求：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1）成交供应商不得利用所获取、掌握的主管部门的任何保密内容从事主管部门授权 工作以外的任何事情，不得披露、允许第三方使用；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）成交供应商不得以任何形式复制属于保密内容的资料和信息；</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）成交供应商须按照主管部门要求开展清单编制工作，编制完成后须立即将所需提交资料交由主管部门保管；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）成交供应商应建立相应的保密制度，设置专人专岗负责文档数据保密性工作，确保相关资料和信息的保密性</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验收标准：</w:t>
            </w:r>
          </w:p>
          <w:p>
            <w:pPr>
              <w:pStyle w:val="null3"/>
              <w:ind w:firstLine="480"/>
              <w:jc w:val="both"/>
            </w:pPr>
            <w:r>
              <w:rPr>
                <w:rFonts w:ascii="仿宋_GB2312" w:hAnsi="仿宋_GB2312" w:cs="仿宋_GB2312" w:eastAsia="仿宋_GB2312"/>
                <w:sz w:val="24"/>
                <w:color w:val="000000"/>
              </w:rPr>
              <w:t>服务质量达到国家相关法律法规要求、磋商文件、磋商响应文件及采购人要求；报告成果符合中省相关文件要求，并通过陕西省生态环境厅审核。</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自合同签订之日起120日历天内完成本项目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服务质量达到国家相关法律法规要求、磋商文件、磋商响应文件及采购人要求；报告成果符合中省相关文件要求，并通过陕西省生态环境厅审核。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中标(成交)供应商在中标(成交)结果公告发布后3个工作日内提供叁套响应文件(经编标工具生成的文件直接打印加盖公章），递交的纸质版文件内容确保与线上电子版保持一致，不允许修改和补充。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供应商需提供参加政府采购活动近3年内在经营活动中没有重大违法纪录的书面声明；</w:t>
            </w:r>
          </w:p>
        </w:tc>
        <w:tc>
          <w:tcPr>
            <w:tcW w:type="dxa" w:w="1661"/>
          </w:tcPr>
          <w:p>
            <w:pPr>
              <w:pStyle w:val="null3"/>
            </w:pPr>
            <w:r>
              <w:rPr>
                <w:rFonts w:ascii="仿宋_GB2312" w:hAnsi="仿宋_GB2312" w:cs="仿宋_GB2312" w:eastAsia="仿宋_GB2312"/>
              </w:rPr>
              <w:t>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法定代表人证明书或法定代表人授权书.docx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保证金已按采购文件要求交纳</w:t>
            </w:r>
          </w:p>
        </w:tc>
        <w:tc>
          <w:tcPr>
            <w:tcW w:type="dxa" w:w="1661"/>
          </w:tcPr>
          <w:p>
            <w:pPr>
              <w:pStyle w:val="null3"/>
            </w:pPr>
            <w:r>
              <w:rPr>
                <w:rFonts w:ascii="仿宋_GB2312" w:hAnsi="仿宋_GB2312" w:cs="仿宋_GB2312" w:eastAsia="仿宋_GB2312"/>
              </w:rPr>
              <w:t>投标保证金.docx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服务期满足磋商文件规定</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对服务内容响应程度</w:t>
            </w:r>
          </w:p>
        </w:tc>
        <w:tc>
          <w:tcPr>
            <w:tcW w:type="dxa" w:w="3322"/>
          </w:tcPr>
          <w:p>
            <w:pPr>
              <w:pStyle w:val="null3"/>
            </w:pPr>
            <w:r>
              <w:rPr>
                <w:rFonts w:ascii="仿宋_GB2312" w:hAnsi="仿宋_GB2312" w:cs="仿宋_GB2312" w:eastAsia="仿宋_GB2312"/>
              </w:rPr>
              <w:t>满足磋商文件服务要求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磋商响应文件按竞争性磋商文件要求进行签署、盖章</w:t>
            </w:r>
          </w:p>
        </w:tc>
        <w:tc>
          <w:tcPr>
            <w:tcW w:type="dxa" w:w="1661"/>
          </w:tcPr>
          <w:p>
            <w:pPr>
              <w:pStyle w:val="null3"/>
            </w:pPr>
            <w:r>
              <w:rPr>
                <w:rFonts w:ascii="仿宋_GB2312" w:hAnsi="仿宋_GB2312" w:cs="仿宋_GB2312" w:eastAsia="仿宋_GB2312"/>
              </w:rPr>
              <w:t>法定代表人证明书或法定代表人授权书.docx 服务内容及服务邀请应答表 中小企业声明函 商务应答表 供应商应提交的相关资格证明材料 报价表 资格证明文件.docx 响应文件封面 政府采购供应商拒绝政府采购领域商业贿赂承诺书.docx 残疾人福利性单位声明函 标的清单 响应函 监狱企业的证明文件 投标保证金.docx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一、评审内容：根据所提供的针对本项目的整体实施方案，方案包含但不限于：①对项目的理解；②政策、法律、法规的解读；③清单编制的依据；④工作思路；⑤服务内容、⑥项目成果等。 二、评审标准：提供详细、合理、科学可行的方案，方案符合本项目采购需求有针对性，以上6项，以序号①、②、③、④、⑤、⑥为项数，内容无缺项、无漏项且无缺陷的得18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一、评审内容：项目重点难点分析及解决方案，包含但不限于：①项目实施面临的重点、难点分析；②对重点、难点的解决方案等。 二、评审标准：提供详细、合理、科学可行的方案，方案符合本项目采购需求有针对性，以上2项，以序号①、②为项数，内容无缺项、无漏项且无缺陷的得4分，其中每有一项内容存在缺项或漏项的扣2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一、拟派项目负责人具有环境类高级职称，正高级或研究员级得4分，副高级得2分，没有不得分。 二、项目组人员中（不包含项目负责人），具有环境类高级职称，每提供1人得1分，最高5分；具有环境类中级职称，每提供1人得1分，最高8分。 注：人员需满足相关专业中级及以上职称，不提供或完全背离评审标准得0分；提供人员职称证和投标截止时间前六个月内任一月（不含投标当月）在投标人单位缴纳的社保证明材料，加盖投标人公章，提供不完整或未提供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专业化服务方案</w:t>
            </w:r>
          </w:p>
        </w:tc>
        <w:tc>
          <w:tcPr>
            <w:tcW w:type="dxa" w:w="2492"/>
          </w:tcPr>
          <w:p>
            <w:pPr>
              <w:pStyle w:val="null3"/>
            </w:pPr>
            <w:r>
              <w:rPr>
                <w:rFonts w:ascii="仿宋_GB2312" w:hAnsi="仿宋_GB2312" w:cs="仿宋_GB2312" w:eastAsia="仿宋_GB2312"/>
              </w:rPr>
              <w:t>一、评审内容：根据所提供的针对本项目的专业化服务方案情况进行综合评价。专业化服务方案包含：①清单信息填报培训指导服务②数据调研与收集；③数据校核；④清单计算与汇总分析。 二、评审标准：提供详细、合理、科学可行的方案，方案符合本项目采购需求有针对性，以上4项，以序号①、②、③、④为项数，内容无缺项、无漏项且无缺陷的得16分，其中每有一项内容存在缺项或漏项的扣4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一、评审内容：供应商根据本项目采购内容及要求编制进度计划安排，包含但不限于①各阶段时间节点 ②进度保障措施③临时调整措施及应急处理能力等。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一、评审内容：供应商根据本项目采购内容及要求编制服务质量保障措施，包含但不限于①质量标准；②质量控制体系；③质量保证措施等。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近三年（2022年12月至今，以合同签订时间为准）具有类似项目业绩，每提供一份得2分（以合同或成交通知书为准），最高得10分。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终最低报价为磋商基准价，其磋商报价为满分。其他供应商的价格分，统一按照下列公式计算：：磋商报价得分=（评标基准价/有效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详见附件：法定代表人证明书或法定代表人授权书.docx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