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版本号：ZCSP-渭南市-2025-0090520251214002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渭南市最美公共文化新空间建设项目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ZCSP-渭南市-2025-00905</w:t>
      </w:r>
      <w:r>
        <w:br/>
      </w:r>
      <w:r>
        <w:br/>
      </w:r>
      <w:r>
        <w:br/>
      </w:r>
    </w:p>
    <w:p>
      <w:pPr>
        <w:pStyle w:val="null3"/>
        <w:jc w:val="center"/>
        <w:outlineLvl w:val="2"/>
      </w:pPr>
      <w:r>
        <w:rPr>
          <w:rFonts w:ascii="仿宋_GB2312" w:hAnsi="仿宋_GB2312" w:cs="仿宋_GB2312" w:eastAsia="仿宋_GB2312"/>
          <w:sz w:val="28"/>
          <w:b/>
        </w:rPr>
        <w:t>渭南市图书馆</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渭南市图书馆</w:t>
      </w:r>
      <w:r>
        <w:rPr>
          <w:rFonts w:ascii="仿宋_GB2312" w:hAnsi="仿宋_GB2312" w:cs="仿宋_GB2312" w:eastAsia="仿宋_GB2312"/>
        </w:rPr>
        <w:t>委托，拟对</w:t>
      </w:r>
      <w:r>
        <w:rPr>
          <w:rFonts w:ascii="仿宋_GB2312" w:hAnsi="仿宋_GB2312" w:cs="仿宋_GB2312" w:eastAsia="仿宋_GB2312"/>
        </w:rPr>
        <w:t>渭南市最美公共文化新空间建设项目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ZCSP-渭南市-2025-00905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渭南市最美公共文化新空间建设项目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本项目计划为渭南市最美公共文化新空间建设区域内提供正版图书、数据加工、RFID标签电子标签加工制作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合法授权：法定代表人授权委托书（附法定代表人身份证复印件及被授权人身份证复印件及授权代表递交文件时间截止时间前连续3个月的社保缴纳证明）；法定代表人直接参加投标只须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8、投标保证金：投标保证金交纳凭证或担保函（投标保证交纳金凭证为银行凭证及基本账户证明资料，担保函为财政部门认可的政府采购信用担保机构出具，并在开标时间前将保函原件送至代理公司。）；</w:t>
      </w:r>
    </w:p>
    <w:p>
      <w:pPr>
        <w:pStyle w:val="null3"/>
      </w:pPr>
      <w:r>
        <w:rPr>
          <w:rFonts w:ascii="仿宋_GB2312" w:hAnsi="仿宋_GB2312" w:cs="仿宋_GB2312" w:eastAsia="仿宋_GB2312"/>
        </w:rPr>
        <w:t>9、资格要求：投标人具有有效的《出版物经营许可证》</w:t>
      </w:r>
    </w:p>
    <w:p>
      <w:pPr>
        <w:pStyle w:val="null3"/>
      </w:pPr>
      <w:r>
        <w:rPr>
          <w:rFonts w:ascii="仿宋_GB2312" w:hAnsi="仿宋_GB2312" w:cs="仿宋_GB2312" w:eastAsia="仿宋_GB2312"/>
        </w:rPr>
        <w:t>10、信用要求：不得为“信用中国”网站(http://www.creditchina.gov.cn)列入“失信被执行人（页面跳转至“中 国执行信息公开网”http://zxgk.court.gov.cn/shixin/）、重大税收违法失信主体、政府采购严重违法失信行为记录名单”的投标 人；不得为中国政府采购网(http://www.ccgp.gov.cn)“政府采购严重违法失信行为记录名单”中的投标人。</w:t>
      </w:r>
    </w:p>
    <w:p>
      <w:pPr>
        <w:pStyle w:val="null3"/>
      </w:pPr>
      <w:r>
        <w:rPr>
          <w:rFonts w:ascii="仿宋_GB2312" w:hAnsi="仿宋_GB2312" w:cs="仿宋_GB2312" w:eastAsia="仿宋_GB2312"/>
        </w:rPr>
        <w:t>11、控股关系：单位负责人为同一人或者存在直接控股、管理关系的不同投标人，不得参加同一合同项下的政府采购活动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合法授权：法定代表人授权委托书（附法定代表人身份证复印件及被授权人身份证复印件及授权代表递交文件时间截止时间前连续3个月的社保缴纳证明）；法定代表人直接参加投标只须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8、投标保证金：投标保证金交纳凭证或担保函（投标保证交纳金凭证为银行凭证及基本账户证明资料，担保函为财政部门认可的政府采购信用担保机构出具，并在开标时间前将保函原件送至代理公司。）；</w:t>
      </w:r>
    </w:p>
    <w:p>
      <w:pPr>
        <w:pStyle w:val="null3"/>
      </w:pPr>
      <w:r>
        <w:rPr>
          <w:rFonts w:ascii="仿宋_GB2312" w:hAnsi="仿宋_GB2312" w:cs="仿宋_GB2312" w:eastAsia="仿宋_GB2312"/>
        </w:rPr>
        <w:t>9、资格要求：投标人具有有效的《出版物经营许可证》</w:t>
      </w:r>
    </w:p>
    <w:p>
      <w:pPr>
        <w:pStyle w:val="null3"/>
      </w:pPr>
      <w:r>
        <w:rPr>
          <w:rFonts w:ascii="仿宋_GB2312" w:hAnsi="仿宋_GB2312" w:cs="仿宋_GB2312" w:eastAsia="仿宋_GB2312"/>
        </w:rPr>
        <w:t>10、信用要求：不得为“信用中国”网站(http://www.creditchina.gov.cn)列入“失信被执行人（页面跳转至“中 国执行信息公开网”http://zxgk.court.gov.cn/shixin/）、重大税收违法失信主体、政府采购严重违法失信行为记录名单”的投标 人；不得为中国政府采购网(http://www.ccgp.gov.cn)“政府采购严重违法失信行为记录名单”中的投标人。</w:t>
      </w:r>
    </w:p>
    <w:p>
      <w:pPr>
        <w:pStyle w:val="null3"/>
      </w:pPr>
      <w:r>
        <w:rPr>
          <w:rFonts w:ascii="仿宋_GB2312" w:hAnsi="仿宋_GB2312" w:cs="仿宋_GB2312" w:eastAsia="仿宋_GB2312"/>
        </w:rPr>
        <w:t>11、控股关系：单位负责人为同一人或者存在直接控股、管理关系的不同投标人，不得参加同一合同项下的政府采购活动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渭南市图书馆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渭南市临渭区六泉路中心西片区多功能馆</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孙银平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13572364448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17349239651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采购包1：220,000.00元</w:t>
            </w:r>
          </w:p>
          <w:p>
            <w:pPr>
              <w:pStyle w:val="null3"/>
            </w:pPr>
            <w:r>
              <w:rPr>
                <w:rFonts w:ascii="仿宋_GB2312" w:hAnsi="仿宋_GB2312" w:cs="仿宋_GB2312" w:eastAsia="仿宋_GB2312"/>
              </w:rPr>
              <w:t>采购包2：236,000.00元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开户名称：品智工程咨询有限公司渭南分公司</w:t>
            </w:r>
          </w:p>
          <w:p>
            <w:pPr>
              <w:pStyle w:val="null3"/>
            </w:pPr>
            <w:r>
              <w:rPr>
                <w:rFonts w:ascii="仿宋_GB2312" w:hAnsi="仿宋_GB2312" w:cs="仿宋_GB2312" w:eastAsia="仿宋_GB2312"/>
              </w:rPr>
              <w:t>开户银行：中国建设银行股份有限公司渭南胜利大街支行</w:t>
            </w:r>
          </w:p>
          <w:p>
            <w:pPr>
              <w:pStyle w:val="null3"/>
            </w:pPr>
            <w:r>
              <w:rPr>
                <w:rFonts w:ascii="仿宋_GB2312" w:hAnsi="仿宋_GB2312" w:cs="仿宋_GB2312" w:eastAsia="仿宋_GB2312"/>
              </w:rPr>
              <w:t>银行账号：61050164140000001103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 计价格【2002】1980 号）及《国家发改委关于降低部分建设项目收费标准规范收费行为等有 关问题的通知》（发改价格[2011]534 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渭南市图书馆</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渭南市图书馆</w:t>
      </w:r>
      <w:r>
        <w:rPr>
          <w:rFonts w:ascii="仿宋_GB2312" w:hAnsi="仿宋_GB2312" w:cs="仿宋_GB2312" w:eastAsia="仿宋_GB2312"/>
        </w:rPr>
        <w:t>负责解释。除上述招标文件内容，其他内容由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渭南市图书馆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正版图书，符合采购要求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正版图书，符合采购要求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联系人：袁新洁</w:t>
      </w:r>
    </w:p>
    <w:p>
      <w:pPr>
        <w:pStyle w:val="null3"/>
      </w:pPr>
      <w:r>
        <w:rPr>
          <w:rFonts w:ascii="仿宋_GB2312" w:hAnsi="仿宋_GB2312" w:cs="仿宋_GB2312" w:eastAsia="仿宋_GB2312"/>
        </w:rPr>
        <w:t>联系电话：17349239651</w:t>
      </w:r>
    </w:p>
    <w:p>
      <w:pPr>
        <w:pStyle w:val="null3"/>
      </w:pPr>
      <w:r>
        <w:rPr>
          <w:rFonts w:ascii="仿宋_GB2312" w:hAnsi="仿宋_GB2312" w:cs="仿宋_GB2312" w:eastAsia="仿宋_GB2312"/>
        </w:rPr>
        <w:t>地址：陕西省渭南市临渭区杜化路与胜利大街十字海兴城南门</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本项目计划为渭南市最美公共文化新空间建设区域内提供正版图书、数据加工、RFID标签电子标签加工制作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w:t>
      </w:r>
    </w:p>
    <w:p>
      <w:pPr>
        <w:pStyle w:val="null3"/>
      </w:pPr>
      <w:r>
        <w:rPr>
          <w:rFonts w:ascii="仿宋_GB2312" w:hAnsi="仿宋_GB2312" w:cs="仿宋_GB2312" w:eastAsia="仿宋_GB2312"/>
        </w:rPr>
        <w:t>采购包最高限价（元）: 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236,000.00</w:t>
      </w:r>
    </w:p>
    <w:p>
      <w:pPr>
        <w:pStyle w:val="null3"/>
      </w:pPr>
      <w:r>
        <w:rPr>
          <w:rFonts w:ascii="仿宋_GB2312" w:hAnsi="仿宋_GB2312" w:cs="仿宋_GB2312" w:eastAsia="仿宋_GB2312"/>
        </w:rPr>
        <w:t>采购包最高限价（元）: 236,000.00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标的名称：普通图书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8"/>
              <w:gridCol w:w="193"/>
              <w:gridCol w:w="1935"/>
              <w:gridCol w:w="935"/>
            </w:tblGrid>
            <w:tr>
              <w:tc>
                <w:tcPr>
                  <w:tcW w:type="dxa" w:w="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货物名称</w:t>
                  </w:r>
                </w:p>
              </w:tc>
              <w:tc>
                <w:tcPr>
                  <w:tcW w:type="dxa" w:w="1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技术规格要求</w:t>
                  </w:r>
                </w:p>
              </w:tc>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区域</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普通图书</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马克思主义、列宁主义等 政治类图书，重点包含习*平新时代中国特色社会主义思想、习**谈治国理政等系列相关图书，占比20%。</w:t>
                  </w:r>
                </w:p>
                <w:p>
                  <w:pPr>
                    <w:pStyle w:val="null3"/>
                    <w:numPr>
                      <w:ilvl w:val="0"/>
                      <w:numId w:val="1"/>
                    </w:numPr>
                    <w:jc w:val="both"/>
                  </w:pPr>
                  <w:r>
                    <w:rPr>
                      <w:rFonts w:ascii="仿宋_GB2312" w:hAnsi="仿宋_GB2312" w:cs="仿宋_GB2312" w:eastAsia="仿宋_GB2312"/>
                      <w:sz w:val="21"/>
                    </w:rPr>
                    <w:t>2024年及以后出版的当代文学著作，占比30%。</w:t>
                  </w:r>
                </w:p>
                <w:p>
                  <w:pPr>
                    <w:pStyle w:val="null3"/>
                    <w:numPr>
                      <w:ilvl w:val="0"/>
                      <w:numId w:val="1"/>
                    </w:numPr>
                    <w:jc w:val="both"/>
                  </w:pPr>
                  <w:r>
                    <w:rPr>
                      <w:rFonts w:ascii="仿宋_GB2312" w:hAnsi="仿宋_GB2312" w:cs="仿宋_GB2312" w:eastAsia="仿宋_GB2312"/>
                      <w:sz w:val="21"/>
                    </w:rPr>
                    <w:t>2024年及以后出版的自然科学类著作，占比20%。</w:t>
                  </w:r>
                </w:p>
                <w:p>
                  <w:pPr>
                    <w:pStyle w:val="null3"/>
                    <w:numPr>
                      <w:ilvl w:val="0"/>
                      <w:numId w:val="1"/>
                    </w:numPr>
                    <w:jc w:val="both"/>
                  </w:pPr>
                  <w:r>
                    <w:rPr>
                      <w:rFonts w:ascii="仿宋_GB2312" w:hAnsi="仿宋_GB2312" w:cs="仿宋_GB2312" w:eastAsia="仿宋_GB2312"/>
                      <w:sz w:val="21"/>
                    </w:rPr>
                    <w:t>历年诺贝尔文学奖获奖作者著作、宝珀理想国文学奖作品、布克奖作品、布克国际文学奖作品、普利策小说奖作品、雨果奖获奖作品，占比30%。</w:t>
                  </w:r>
                </w:p>
                <w:p>
                  <w:pPr>
                    <w:pStyle w:val="null3"/>
                    <w:jc w:val="both"/>
                  </w:pP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渭南市民中心城市书房、渭南书</w:t>
                  </w:r>
                  <w:r>
                    <w:rPr>
                      <w:rFonts w:ascii="仿宋_GB2312" w:hAnsi="仿宋_GB2312" w:cs="仿宋_GB2312" w:eastAsia="仿宋_GB2312"/>
                      <w:sz w:val="21"/>
                      <w:b/>
                    </w:rPr>
                    <w:t>苑信达城市书房、华州区子仪城市书房、大荔县同乐城市书房、潼关县古城景区关西书屋。</w:t>
                  </w:r>
                </w:p>
                <w:p>
                  <w:pPr>
                    <w:pStyle w:val="null3"/>
                    <w:jc w:val="both"/>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投标单位必须满足图书馆荐购订单要求并保证到货率</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rPr>
              <w:t>所供图书必须是国家正式出版社出版的正版图书。</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免费提供数据加工、 RFID电子标签制作</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8"/>
              <w:gridCol w:w="193"/>
              <w:gridCol w:w="1829"/>
              <w:gridCol w:w="1044"/>
            </w:tblGrid>
            <w:tr>
              <w:tc>
                <w:tcPr>
                  <w:tcW w:type="dxa" w:w="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货物名称</w:t>
                  </w:r>
                </w:p>
              </w:tc>
              <w:tc>
                <w:tcPr>
                  <w:tcW w:type="dxa" w:w="1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技术规格要求</w:t>
                  </w:r>
                </w:p>
              </w:tc>
              <w:tc>
                <w:tcPr>
                  <w:tcW w:type="dxa" w:w="10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区域</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图书</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马克思主义、列宁主义等 政治类图书，重点包含习*平新时代中国特色社会主义思想、习**平谈治国理政等系列相关图书，占比20%。</w:t>
                  </w:r>
                </w:p>
                <w:p>
                  <w:pPr>
                    <w:pStyle w:val="null3"/>
                    <w:numPr>
                      <w:ilvl w:val="0"/>
                      <w:numId w:val="1"/>
                    </w:numPr>
                    <w:jc w:val="both"/>
                  </w:pPr>
                  <w:r>
                    <w:rPr>
                      <w:rFonts w:ascii="仿宋_GB2312" w:hAnsi="仿宋_GB2312" w:cs="仿宋_GB2312" w:eastAsia="仿宋_GB2312"/>
                      <w:sz w:val="21"/>
                    </w:rPr>
                    <w:t>2024年及以后出版的当代文学著作，占比30%。</w:t>
                  </w:r>
                </w:p>
                <w:p>
                  <w:pPr>
                    <w:pStyle w:val="null3"/>
                    <w:numPr>
                      <w:ilvl w:val="0"/>
                      <w:numId w:val="1"/>
                    </w:numPr>
                    <w:jc w:val="both"/>
                  </w:pPr>
                  <w:r>
                    <w:rPr>
                      <w:rFonts w:ascii="仿宋_GB2312" w:hAnsi="仿宋_GB2312" w:cs="仿宋_GB2312" w:eastAsia="仿宋_GB2312"/>
                      <w:sz w:val="21"/>
                    </w:rPr>
                    <w:t>2024年及以后出版的自然科学类著作，占比20%。</w:t>
                  </w:r>
                </w:p>
                <w:p>
                  <w:pPr>
                    <w:pStyle w:val="null3"/>
                    <w:numPr>
                      <w:ilvl w:val="0"/>
                      <w:numId w:val="1"/>
                    </w:numPr>
                    <w:jc w:val="both"/>
                  </w:pPr>
                  <w:r>
                    <w:rPr>
                      <w:rFonts w:ascii="仿宋_GB2312" w:hAnsi="仿宋_GB2312" w:cs="仿宋_GB2312" w:eastAsia="仿宋_GB2312"/>
                      <w:sz w:val="21"/>
                    </w:rPr>
                    <w:t>历年诺贝尔文学奖获奖作者著作、宝珀理想国文学奖作品、布克奖作品、布克国际文学奖作品、普利策小说奖作品、雨果奖获奖作品，占比30%。</w:t>
                  </w:r>
                </w:p>
                <w:p>
                  <w:pPr>
                    <w:pStyle w:val="null3"/>
                    <w:jc w:val="both"/>
                  </w:p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韩城司马迁图书馆龙钢分馆、</w:t>
                  </w:r>
                  <w:r>
                    <w:rPr>
                      <w:rFonts w:ascii="仿宋_GB2312" w:hAnsi="仿宋_GB2312" w:cs="仿宋_GB2312" w:eastAsia="仿宋_GB2312"/>
                      <w:sz w:val="21"/>
                      <w:b/>
                    </w:rPr>
                    <w:t>澄</w:t>
                  </w:r>
                  <w:r>
                    <w:rPr>
                      <w:rFonts w:ascii="仿宋_GB2312" w:hAnsi="仿宋_GB2312" w:cs="仿宋_GB2312" w:eastAsia="仿宋_GB2312"/>
                      <w:sz w:val="21"/>
                      <w:b/>
                    </w:rPr>
                    <w:t>城县古徽公园城市书房、合阳县黑池镇南社社区书屋、蒲城县南塬春晴城市书房、蒲城县紫荆街道办城南社区书屋、富平县怀德大书房。</w:t>
                  </w:r>
                </w:p>
                <w:p>
                  <w:pPr>
                    <w:pStyle w:val="null3"/>
                    <w:jc w:val="both"/>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color w:val="333333"/>
              </w:rPr>
              <w:t>投标单位必须满足图书馆荐购订单要求并保证到货率</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color w:val="333333"/>
              </w:rPr>
              <w:t>所供图书必须是国家正式出版社出版的正版图书。</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color w:val="333333"/>
              </w:rPr>
              <w:t>免费提供数据加工、 RFID电子标签制作</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25天内完成供货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25天内完成供货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渭南市各区域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渭南市各区域</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货物送达后待整体项目验收合格后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货物送达后待整体项目验收合格后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1.所供产品的规格、数量符合采购文件、供应商承诺及采购合同约定的要求。 2.所有货物均已运输至指定地点。 3.采购文件、供应商承诺及采购合同约定的附件、工具、技术资料等齐全;提供产品使用说明书、合格证。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1.所供产品的规格、数量符合采购文件、供应商承诺及采购合同约定的要求。 2.所有货物均已运输至指定地点。 3.采购文件、供应商承诺及采购合同约定的附件、工具、技术资料等齐全;提供产品使用说明书、合格证。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验收合格后2年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验收合格后2年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次投标的最小单元为“包”，为保证供货时间及货物质量，同一投标人可参与多个包的投标，但同一个投标人最多中标一个包。按包号顺序确定第一中标候选人，上一包排名第一的，后面各包由排序第二名递补。合同签订前弃标的，各包由排序顺序递补，不在另行招标。 （2）中标人在领取中标通知书时提供一正两副纸质投标文件（与电子投标文件一致的签字、盖章的完整版本），纸质投标文件采用书籍（胶装）方式装订成册。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投标报价表.docx 《拒绝政府采购领域商业贿赂承诺书》（格式）.docx 投标函 商务条款响应偏离表（格式）.docx 实施方案及证明材料.docx 投标人认为有必要补充说明的事宜（若有）.docx 技术响应偏离表（格式）.docx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投标报价表.docx 《拒绝政府采购领域商业贿赂承诺书》（格式）.docx 投标函 投标人认为有必要补充说明的事宜（若有）.docx 商务条款响应偏离表（格式）.docx 实施方案及证明材料.docx 技术响应偏离表（格式）.docx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及授权代表递交文件时间截止时间前连续3个月的社保缴纳证明）；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投标保证金交纳凭证或担保函（投标保证交纳金凭证为银行凭证及基本账户证明资料，担保函为财政部门认可的政府采购信用担保机构出具，并在开标时间前将保函原件送至代理公司。）；</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投标人具有有效的《出版物经营许可证》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 国执行信息公开网”http://zxgk.court.gov.cn/shixin/）、重大税收违法失信主体、政府采购严重违法失信行为记录名单”的投标 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及授权代表递交文件时间截止时间前连续3个月的社保缴纳证明）；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投标保证金交纳凭证或担保函（投标保证交纳金凭证为银行凭证及基本账户证明资料，担保函为财政部门认可的政府采购信用担保机构出具，并在开标时间前将保函原件送至代理公司。）；</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投标人具有有效的《出版物经营许可证》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 国执行信息公开网”http://zxgk.court.gov.cn/shixin/）、重大税收违法失信主体、政府采购严重违法失信行为记录名单”的投标 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开标一览表（此项填写预算金额） 标的清单（此项填写预算金额）</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投标报价表.docx 《拒绝政府采购领域商业贿赂承诺书》（格式）.docx 中小企业声明函 商务条款响应偏离表（格式）.docx 投标人认为有必要补充说明的事宜（若有）.docx 技术响应偏离表（格式）.docx 资格证明文件.docx 投标函 残疾人福利性单位声明函 投标文件封面 标的清单（此项填写预算金额） 实施方案及证明材料.docx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投标报价表.docx 《拒绝政府采购领域商业贿赂承诺书》（格式）.docx 中小企业声明函 商务条款响应偏离表（格式）.docx 投标人认为有必要补充说明的事宜（若有）.docx 技术响应偏离表（格式）.docx 资格证明文件.docx 投标函 残疾人福利性单位声明函 标的清单（此项填写预算金额） 实施方案及证明材料.docx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投标报价表.docx 投标文件封面 标的清单（此项填写预算金额）</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投标文件封面 商务条款响应偏离表（格式）.docx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投标文件封面 商务条款响应偏离表（格式）.docx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投标文件封面 投标人认为有必要补充说明的事宜（若有）.docx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投标报价表.docx 《拒绝政府采购领域商业贿赂承诺书》（格式）.docx 中小企业声明函 商务条款响应偏离表（格式）.docx 投标人认为有必要补充说明的事宜（若有）.docx 技术响应偏离表（格式）.docx 资格证明文件.docx 投标函 残疾人福利性单位声明函 标的清单（此项填写预算金额） 实施方案及证明材料.docx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开标一览表（此项填写预算金额） 标的清单（此项填写预算金额）</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投标报价表.docx 《拒绝政府采购领域商业贿赂承诺书》（格式）.docx 中小企业声明函 商务条款响应偏离表（格式）.docx 投标人认为有必要补充说明的事宜（若有）.docx 技术响应偏离表（格式）.docx 资格证明文件.docx 投标函 残疾人福利性单位声明函 投标文件封面 标的清单（此项填写预算金额） 实施方案及证明材料.docx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投标报价表.docx 《拒绝政府采购领域商业贿赂承诺书》（格式）.docx 中小企业声明函 商务条款响应偏离表（格式）.docx 投标人认为有必要补充说明的事宜（若有）.docx 技术响应偏离表（格式）.docx 资格证明文件.docx 投标函 残疾人福利性单位声明函 投标文件封面 标的清单（此项填写预算金额） 实施方案及证明材料.docx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投标报价表.docx 投标文件封面 标的清单（此项填写预算金额）</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投标文件封面 商务条款响应偏离表（格式）.docx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投标文件封面 技术响应偏离表（格式）.docx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投标文件封面 投标人认为有必要补充说明的事宜（若有）.docx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投标报价表.docx 《拒绝政府采购领域商业贿赂承诺书》（格式）.docx 中小企业声明函 商务条款响应偏离表（格式）.docx 投标人认为有必要补充说明的事宜（若有）.docx 技术响应偏离表（格式）.docx 资格证明文件.docx 投标函 残疾人福利性单位声明函 投标文件封面 标的清单（此项填写预算金额） 实施方案及证明材料.docx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图书来源渠道</w:t>
            </w:r>
          </w:p>
        </w:tc>
        <w:tc>
          <w:tcPr>
            <w:tcW w:type="dxa" w:w="2492"/>
          </w:tcPr>
          <w:p>
            <w:pPr>
              <w:pStyle w:val="null3"/>
            </w:pPr>
            <w:r>
              <w:rPr>
                <w:rFonts w:ascii="仿宋_GB2312" w:hAnsi="仿宋_GB2312" w:cs="仿宋_GB2312" w:eastAsia="仿宋_GB2312"/>
              </w:rPr>
              <w:t>投标人图书来源渠道较广，经营图书品种丰富，保证提供的图书为国家正规出版社的正版图书，提供至今保持合作的主要出版社名录或相关证明材料。（相关证明材料包括但不限于合作协议、有效期内的授权书等）每提供一份有效证明得1分，最高得10分。未提供或者证明材料不完整不清晰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实施方案及证明材料.docx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图书质量保证，承诺以下内容并提供相应的保障措施：①所投图书质量符合相关法规及标准，且包装、装帧、印刷等符合要求，无缺页、倒装、模糊不清、折页、开线、开胶、污损等；②出版物为国家正规出版社出版的原版全新的正式出版物；③无知识产权纠纷、无盗版；④如图书质量不符合上述要求，必须无条件调换，⑤质量保证措施 1、质量保证承诺全面无缺项，对应的保障措施完善可行性强，得5分；每有一项缺项扣1分；每有一项内容存在缺陷，扣0.5分，扣完为止。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实施方案及证明材料.docx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供具体的实施方案，包括：①供货方案（含订购图书供货、定期新书样书提供等）；②人员配备方案；③图书现采方案（含通过投标单位自编的书目或提供的样书方式进行现场选购图书、定期组织采购人采访人员参加全国大型书展进行现场选书等）；④图书到货率保证措施；⑤提供采访数据和编目数据的承诺等方面。 方案各项内容全面详细、阐述条理清晰，能有效保障本项目实施，得15分；每有一项缺项扣3分；每有一项内容存在缺陷，扣0.5分，扣完为止。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实施方案及证明材料.docx</w:t>
            </w:r>
          </w:p>
        </w:tc>
      </w:tr>
      <w:tr>
        <w:tc>
          <w:tcPr>
            <w:tcW w:type="dxa" w:w="831"/>
            <w:vMerge/>
          </w:tcPr>
          <w:p/>
        </w:tc>
        <w:tc>
          <w:tcPr>
            <w:tcW w:type="dxa" w:w="1661"/>
          </w:tcPr>
          <w:p>
            <w:pPr>
              <w:pStyle w:val="null3"/>
            </w:pPr>
            <w:r>
              <w:rPr>
                <w:rFonts w:ascii="仿宋_GB2312" w:hAnsi="仿宋_GB2312" w:cs="仿宋_GB2312" w:eastAsia="仿宋_GB2312"/>
              </w:rPr>
              <w:t>图书加工服务</w:t>
            </w:r>
          </w:p>
        </w:tc>
        <w:tc>
          <w:tcPr>
            <w:tcW w:type="dxa" w:w="2492"/>
          </w:tcPr>
          <w:p>
            <w:pPr>
              <w:pStyle w:val="null3"/>
            </w:pPr>
            <w:r>
              <w:rPr>
                <w:rFonts w:ascii="仿宋_GB2312" w:hAnsi="仿宋_GB2312" w:cs="仿宋_GB2312" w:eastAsia="仿宋_GB2312"/>
              </w:rPr>
              <w:t>为采购人所订图书，提供编目、贴书标、夹装不干胶钴基复合磁条、图书上架等图书加工服务，并接受采购人质量监督，且提供到馆加工服务人员及图书加工方案。 1、图书加工方案详细齐全且人员保障措施详细、职责划分清晰、拟投入的人员能够满足图书加工要求及项目需求，得6分； 2、图书加工方案基本齐全且有一定的人员保障措施、职责划分，拟投入的人员能够基本满足图书加工及项目需求，得3分；3、图书加工方案简单笼统，人员职责不明确，无法确保满足项目需求，得1分。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实施方案及证明材料.docx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针对本项目提供相关售后服务方案，包括：①提供调换、补缺及退货的具体方案（含响应时间、响应方式，售后人员保证等）；②提供图书RFID电子标签加工、维护技术等培训方案（含培训人员安排、培训方式、培训计划及进度、培训内容、培训资料等）。 方案各项内容全面详细、阐述条理清晰，能有效保障本项目实施，得10分；每有一项缺项扣5分；每有一项内容存在缺陷，扣0.5分，扣完为止。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实施方案及证明材料.docx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突发问题有应急预案，包括：①应急处理实施计划和应急预案保障措施，②应对重大突发事件及其他特殊问题提供图书配送安全等应急预案。应急预案各项内容全面详细、阐述条理清晰，能有效保障本项目实施，得10分；每有一项缺项扣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提供投标人2022年1月1日至今（以合同签订时间为准）类似供货项目的业绩。每提供1份有效业绩得2分，满分4分。 备注：1、业绩证明（以合同为准，须在投标文件中附合同的复印件并加盖单位公章），2、提供的证明材料均不得遮挡涂黑，否则不予认定得分。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实施方案及证明材料.docx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综合折扣率）最低的投标报价（综合折扣率）为评标基准价，其价格分为满分。其他投标人的价格分统一按照下列公式计算：投标报价得分=（评标基准价/投标报价）×价格权值（即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开标一览表（此项填写预算金额）</w:t>
            </w:r>
          </w:p>
          <w:p>
            <w:pPr>
              <w:pStyle w:val="null3"/>
            </w:pPr>
            <w:r>
              <w:rPr>
                <w:rFonts w:ascii="仿宋_GB2312" w:hAnsi="仿宋_GB2312" w:cs="仿宋_GB2312" w:eastAsia="仿宋_GB2312"/>
              </w:rPr>
              <w:t>标的清单（此项填写预算金额）</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15%的扣除，用扣除后的价格参加评审。承接本项目的供应商符合相应条件时，给予15%的价格扣除，即：评标价=最后报价×（1-15%）;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开标一览表（此项填写预算金额）</w:t>
            </w:r>
          </w:p>
          <w:p>
            <w:pPr>
              <w:pStyle w:val="null3"/>
            </w:pPr>
            <w:r>
              <w:rPr>
                <w:rFonts w:ascii="仿宋_GB2312" w:hAnsi="仿宋_GB2312" w:cs="仿宋_GB2312" w:eastAsia="仿宋_GB2312"/>
              </w:rPr>
              <w:t>标的清单（此项填写预算金额）</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图书来源渠道</w:t>
            </w:r>
          </w:p>
        </w:tc>
        <w:tc>
          <w:tcPr>
            <w:tcW w:type="dxa" w:w="2492"/>
          </w:tcPr>
          <w:p>
            <w:pPr>
              <w:pStyle w:val="null3"/>
            </w:pPr>
            <w:r>
              <w:rPr>
                <w:rFonts w:ascii="仿宋_GB2312" w:hAnsi="仿宋_GB2312" w:cs="仿宋_GB2312" w:eastAsia="仿宋_GB2312"/>
              </w:rPr>
              <w:t>投标人图书来源渠道较广，经营图书品种丰富，保证提供的图书为国家正规出版社的正版图书，提供至今保持合作的主要出版社名录或相关证明材料。（相关证明材料包括但不限于合作协议、有效期内的授权书等）每提供一份有效证明得1分，最高得10分。未提供或者证明材料不完整不清晰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实施方案及证明材料.docx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图书质量保证，承诺以下内容并提供相应的保障措施：①所投图书质量符合相关法规及标准，且包装、装帧、印刷等符合要求，无缺页、倒装、模糊不清、折页、开线、开胶、污损等；②出版物为国家正规出版社出版的原版全新的正式出版物；③无知识产权纠纷、无盗版；④如图书质量不符合上述要求，必须无条件调换，⑤质量保证措施 1、质量保证承诺全面无缺项，对应的保障措施完善可行性强，得5分；每有一项缺项扣1分；每有一项内容存在缺陷，扣0.5分，扣完为止。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实施方案及证明材料.docx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供具体的实施方案，包括：①供货方案（含订购图书供货、定期新书样书提供等）；②人员配备方案；③图书现采方案（含通过投标单位自编的书目或提供的样书方式进行现场选购图书、定期组织采购人采访人员参加全国大型书展进行现场选书等）；④图书到货率保证措施；⑤提供采访数据和编目数据的承诺等方面。 方案各项内容全面详细、阐述条理清晰，能有效保障本项目实施，得15分；每有一项缺项扣3分；每有一项内容存在缺陷，扣0.5分，扣完为止。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实施方案及证明材料.docx</w:t>
            </w:r>
          </w:p>
        </w:tc>
      </w:tr>
      <w:tr>
        <w:tc>
          <w:tcPr>
            <w:tcW w:type="dxa" w:w="831"/>
            <w:vMerge/>
          </w:tcPr>
          <w:p/>
        </w:tc>
        <w:tc>
          <w:tcPr>
            <w:tcW w:type="dxa" w:w="1661"/>
          </w:tcPr>
          <w:p>
            <w:pPr>
              <w:pStyle w:val="null3"/>
            </w:pPr>
            <w:r>
              <w:rPr>
                <w:rFonts w:ascii="仿宋_GB2312" w:hAnsi="仿宋_GB2312" w:cs="仿宋_GB2312" w:eastAsia="仿宋_GB2312"/>
              </w:rPr>
              <w:t>图书加工服务</w:t>
            </w:r>
          </w:p>
        </w:tc>
        <w:tc>
          <w:tcPr>
            <w:tcW w:type="dxa" w:w="2492"/>
          </w:tcPr>
          <w:p>
            <w:pPr>
              <w:pStyle w:val="null3"/>
            </w:pPr>
            <w:r>
              <w:rPr>
                <w:rFonts w:ascii="仿宋_GB2312" w:hAnsi="仿宋_GB2312" w:cs="仿宋_GB2312" w:eastAsia="仿宋_GB2312"/>
              </w:rPr>
              <w:t>为采购人所订图书，提供编目、贴书标、夹装不干胶钴基复合磁条、图书上架等图书加工服务，并接受采购人质量监督，且提供到馆加工服务人员及图书加工方案。 1、图书加工方案详细齐全且人员保障措施详细、职责划分清晰、拟投入的人员能够满足图书加工要求及项目需求，得6分； 2、图书加工方案基本齐全且有一定的人员保障措施、职责划分，拟投入的人员能够基本满足图书加工及项目需求，得3分；3、图书加工方案简单笼统，人员职责不明确，无法确保满足项目需求，得1分。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实施方案及证明材料.docx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针对本项目提供相关售后服务方案，包括：①提供调换、补缺及退货的具体方案（含响应时间、响应方式、售后人员保证等）；②提供图书RFID电子标签加工、维护技术等培训方案（含培训人员安排、培训方式、培训计划及进度、培训内容、培训资料等）。 方案各项内容全面详细、阐述条理清晰，能有效保障本项目实施，得10分；每有一项缺项扣5分；每有一项内容存在缺陷，扣0.5分，扣完为止。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实施方案及证明材料.docx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突发问题有应急预案，包括：①应急处理实施计划和应急预案保障措施，②应对重大突发事件及其他特殊问题提供图书配送安全等应急预案。应急预案各项内容全面详细、阐述条理清晰，能有效保障本项目实施，得10分；每有一项缺项扣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提供投标人2022年1月1日至今（以合同签订时间为准）类似供货项目的业绩。每提供1份有效业绩得2分，满分4分。 备注：1、业绩证明（以合同为准，须在投标文件中附合同的复印件并加盖单位公章），2、提供的证明材料均不得遮挡涂黑，否则不予认定得分。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实施方案及证明材料.docx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综合折扣率）最低的投标报价（综合折扣率）为评标基准价，其价格分为满分。其他投标人的价格分统一按照下列公式计算：投标报价得分=（评标基准价/投标报价）×价格权值（即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开标一览表（此项填写预算金额）</w:t>
            </w:r>
          </w:p>
          <w:p>
            <w:pPr>
              <w:pStyle w:val="null3"/>
            </w:pPr>
            <w:r>
              <w:rPr>
                <w:rFonts w:ascii="仿宋_GB2312" w:hAnsi="仿宋_GB2312" w:cs="仿宋_GB2312" w:eastAsia="仿宋_GB2312"/>
              </w:rPr>
              <w:t>标的清单（此项填写预算金额）</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15%的扣除，用扣除后的价格参加评审。承接本项目的供应商符合相应条件时，给予15%的价格扣除，即：评标价=最后报价×（1-15%）;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开标一览表（此项填写预算金额）</w:t>
            </w:r>
          </w:p>
          <w:p>
            <w:pPr>
              <w:pStyle w:val="null3"/>
            </w:pPr>
            <w:r>
              <w:rPr>
                <w:rFonts w:ascii="仿宋_GB2312" w:hAnsi="仿宋_GB2312" w:cs="仿宋_GB2312" w:eastAsia="仿宋_GB2312"/>
              </w:rPr>
              <w:t>标的清单（此项填写预算金额）</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详见附件：开标一览表（此项填写预算金额）</w:t>
      </w:r>
    </w:p>
    <w:p>
      <w:pPr>
        <w:pStyle w:val="null3"/>
        <w:ind w:firstLine="960"/>
      </w:pPr>
      <w:r>
        <w:rPr>
          <w:rFonts w:ascii="仿宋_GB2312" w:hAnsi="仿宋_GB2312" w:cs="仿宋_GB2312" w:eastAsia="仿宋_GB2312"/>
        </w:rPr>
        <w:t>详见附件：标的清单（此项填写预算金额）</w:t>
      </w:r>
    </w:p>
    <w:p>
      <w:pPr>
        <w:pStyle w:val="null3"/>
        <w:ind w:firstLine="960"/>
      </w:pPr>
      <w:r>
        <w:rPr>
          <w:rFonts w:ascii="仿宋_GB2312" w:hAnsi="仿宋_GB2312" w:cs="仿宋_GB2312" w:eastAsia="仿宋_GB2312"/>
        </w:rPr>
        <w:t>详见附件：技术响应偏离表（格式）.docx</w:t>
      </w:r>
    </w:p>
    <w:p>
      <w:pPr>
        <w:pStyle w:val="null3"/>
        <w:ind w:firstLine="960"/>
      </w:pPr>
      <w:r>
        <w:rPr>
          <w:rFonts w:ascii="仿宋_GB2312" w:hAnsi="仿宋_GB2312" w:cs="仿宋_GB2312" w:eastAsia="仿宋_GB2312"/>
        </w:rPr>
        <w:t>详见附件：商务条款响应偏离表（格式）.docx</w:t>
      </w:r>
    </w:p>
    <w:p>
      <w:pPr>
        <w:pStyle w:val="null3"/>
        <w:ind w:firstLine="960"/>
      </w:pPr>
      <w:r>
        <w:rPr>
          <w:rFonts w:ascii="仿宋_GB2312" w:hAnsi="仿宋_GB2312" w:cs="仿宋_GB2312" w:eastAsia="仿宋_GB2312"/>
        </w:rPr>
        <w:t>详见附件：《拒绝政府采购领域商业贿赂承诺书》（格式）.docx</w:t>
      </w:r>
    </w:p>
    <w:p>
      <w:pPr>
        <w:pStyle w:val="null3"/>
        <w:ind w:firstLine="960"/>
      </w:pPr>
      <w:r>
        <w:rPr>
          <w:rFonts w:ascii="仿宋_GB2312" w:hAnsi="仿宋_GB2312" w:cs="仿宋_GB2312" w:eastAsia="仿宋_GB2312"/>
        </w:rPr>
        <w:t>详见附件：实施方案及证明材料.docx</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详见附件：投标人认为有必要补充说明的事宜（若有）.docx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详见附件：开标一览表（此项填写预算金额）</w:t>
      </w:r>
    </w:p>
    <w:p>
      <w:pPr>
        <w:pStyle w:val="null3"/>
        <w:ind w:firstLine="960"/>
      </w:pPr>
      <w:r>
        <w:rPr>
          <w:rFonts w:ascii="仿宋_GB2312" w:hAnsi="仿宋_GB2312" w:cs="仿宋_GB2312" w:eastAsia="仿宋_GB2312"/>
        </w:rPr>
        <w:t>详见附件：标的清单（此项填写预算金额）</w:t>
      </w:r>
    </w:p>
    <w:p>
      <w:pPr>
        <w:pStyle w:val="null3"/>
        <w:ind w:firstLine="960"/>
      </w:pPr>
      <w:r>
        <w:rPr>
          <w:rFonts w:ascii="仿宋_GB2312" w:hAnsi="仿宋_GB2312" w:cs="仿宋_GB2312" w:eastAsia="仿宋_GB2312"/>
        </w:rPr>
        <w:t>详见附件：技术响应偏离表（格式）.docx</w:t>
      </w:r>
    </w:p>
    <w:p>
      <w:pPr>
        <w:pStyle w:val="null3"/>
        <w:ind w:firstLine="960"/>
      </w:pPr>
      <w:r>
        <w:rPr>
          <w:rFonts w:ascii="仿宋_GB2312" w:hAnsi="仿宋_GB2312" w:cs="仿宋_GB2312" w:eastAsia="仿宋_GB2312"/>
        </w:rPr>
        <w:t>详见附件：商务条款响应偏离表（格式）.docx</w:t>
      </w:r>
    </w:p>
    <w:p>
      <w:pPr>
        <w:pStyle w:val="null3"/>
        <w:ind w:firstLine="960"/>
      </w:pPr>
      <w:r>
        <w:rPr>
          <w:rFonts w:ascii="仿宋_GB2312" w:hAnsi="仿宋_GB2312" w:cs="仿宋_GB2312" w:eastAsia="仿宋_GB2312"/>
        </w:rPr>
        <w:t>详见附件：《拒绝政府采购领域商业贿赂承诺书》（格式）.docx</w:t>
      </w:r>
    </w:p>
    <w:p>
      <w:pPr>
        <w:pStyle w:val="null3"/>
        <w:ind w:firstLine="960"/>
      </w:pPr>
      <w:r>
        <w:rPr>
          <w:rFonts w:ascii="仿宋_GB2312" w:hAnsi="仿宋_GB2312" w:cs="仿宋_GB2312" w:eastAsia="仿宋_GB2312"/>
        </w:rPr>
        <w:t>详见附件：实施方案及证明材料.docx</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详见附件：投标人认为有必要补充说明的事宜（若有）.docx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