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版本号：ZCSP-渭南市-2025-00911、中金咨招[2025]-0223号20251216001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渭南市网络生态综合治理技术服务项目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ZCSP-渭南市-2025-00911、中金咨招[2025]-0223号</w:t>
      </w:r>
      <w:r>
        <w:br/>
      </w:r>
      <w:r>
        <w:br/>
      </w:r>
      <w:r>
        <w:br/>
      </w:r>
    </w:p>
    <w:p>
      <w:pPr>
        <w:pStyle w:val="null3"/>
        <w:jc w:val="center"/>
        <w:outlineLvl w:val="2"/>
      </w:pPr>
      <w:r>
        <w:rPr>
          <w:rFonts w:ascii="仿宋_GB2312" w:hAnsi="仿宋_GB2312" w:cs="仿宋_GB2312" w:eastAsia="仿宋_GB2312"/>
          <w:sz w:val="28"/>
          <w:b/>
        </w:rPr>
        <w:t>渭南市互联网信息办公室</w:t>
      </w:r>
    </w:p>
    <w:p>
      <w:pPr>
        <w:pStyle w:val="null3"/>
        <w:jc w:val="center"/>
        <w:outlineLvl w:val="2"/>
      </w:pPr>
      <w:r>
        <w:rPr>
          <w:rFonts w:ascii="仿宋_GB2312" w:hAnsi="仿宋_GB2312" w:cs="仿宋_GB2312" w:eastAsia="仿宋_GB2312"/>
          <w:sz w:val="28"/>
          <w:b/>
        </w:rPr>
        <w:t>中金国际项目管理有限公司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中金国际项目管理有限公司</w:t>
      </w:r>
      <w:r>
        <w:rPr>
          <w:rFonts w:ascii="仿宋_GB2312" w:hAnsi="仿宋_GB2312" w:cs="仿宋_GB2312" w:eastAsia="仿宋_GB2312"/>
        </w:rPr>
        <w:t>（以下简称“代理机构”）受</w:t>
      </w:r>
      <w:r>
        <w:rPr>
          <w:rFonts w:ascii="仿宋_GB2312" w:hAnsi="仿宋_GB2312" w:cs="仿宋_GB2312" w:eastAsia="仿宋_GB2312"/>
        </w:rPr>
        <w:t>渭南市互联网信息办公室</w:t>
      </w:r>
      <w:r>
        <w:rPr>
          <w:rFonts w:ascii="仿宋_GB2312" w:hAnsi="仿宋_GB2312" w:cs="仿宋_GB2312" w:eastAsia="仿宋_GB2312"/>
        </w:rPr>
        <w:t>委托，拟对</w:t>
      </w:r>
      <w:r>
        <w:rPr>
          <w:rFonts w:ascii="仿宋_GB2312" w:hAnsi="仿宋_GB2312" w:cs="仿宋_GB2312" w:eastAsia="仿宋_GB2312"/>
        </w:rPr>
        <w:t>渭南市网络生态综合治理技术服务项目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ZCSP-渭南市-2025-00911、中金咨招[2025]-0223号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渭南市网络生态综合治理技术服务项目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渭南市网络生态综合治理技术服务项目，具体内容详见采购文件。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采购包1（渭南市网络生态综合治理技术服务项目）：属于专门面向中小企业采购。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有独立承担民事责任能力的企业法人或其他组织，提供合格有效的企业法人营业执照副本，税务登记证副本，组织机构代码证副本（或多证合一的统一社会信用代码的营业执照副本）；</w:t>
      </w:r>
    </w:p>
    <w:p>
      <w:pPr>
        <w:pStyle w:val="null3"/>
      </w:pPr>
      <w:r>
        <w:rPr>
          <w:rFonts w:ascii="仿宋_GB2312" w:hAnsi="仿宋_GB2312" w:cs="仿宋_GB2312" w:eastAsia="仿宋_GB2312"/>
        </w:rPr>
        <w:t>2、法定代表人身份证明或法定代表人授权委托书：供应商应授权合法的人员参加采购全过程，法定代表人直接参加的须提交其身份证原件及法定代表人证明书，法定代表人授权代表参加采购的，须出具法定代表人授权书及被授权人身份证证及委托人在近3个月内任意一个月缴纳的养老保险证明；</w:t>
      </w:r>
    </w:p>
    <w:p>
      <w:pPr>
        <w:pStyle w:val="null3"/>
      </w:pPr>
      <w:r>
        <w:rPr>
          <w:rFonts w:ascii="仿宋_GB2312" w:hAnsi="仿宋_GB2312" w:cs="仿宋_GB2312" w:eastAsia="仿宋_GB2312"/>
        </w:rPr>
        <w:t>3、财务状况报告：提供2024年度经审计的财务报告或开标前六个月内其基本账户银行出具的资信证明或财政部门认可的政府采购专业担保机构出具的担保函；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4、履行本合同所必需的设备和专业技术能力的书面声明：提供具有履行合同所必需的设备和专业技术能力的承诺；</w:t>
      </w:r>
    </w:p>
    <w:p>
      <w:pPr>
        <w:pStyle w:val="null3"/>
      </w:pPr>
      <w:r>
        <w:rPr>
          <w:rFonts w:ascii="仿宋_GB2312" w:hAnsi="仿宋_GB2312" w:cs="仿宋_GB2312" w:eastAsia="仿宋_GB2312"/>
        </w:rPr>
        <w:t>5、社会保障资金缴纳证明：提供供应商近一年任意一个月的社会保障资金缴存单据或社保机构开具的社会保险参保缴费情况证明；依法不需要缴纳社会保障资金的应提供相关文件证明；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6、税收缴纳证明：提供供应商近一年已缴纳任意一个月完税凭证 或税务机关开具的完税证明（任意税种）；依法免税的应提供相关文件证明；</w:t>
      </w:r>
    </w:p>
    <w:p>
      <w:pPr>
        <w:pStyle w:val="null3"/>
      </w:pPr>
      <w:r>
        <w:rPr>
          <w:rFonts w:ascii="仿宋_GB2312" w:hAnsi="仿宋_GB2312" w:cs="仿宋_GB2312" w:eastAsia="仿宋_GB2312"/>
        </w:rPr>
        <w:t>7、信誉要求：供应商应在采购截止日前未被列入失信被执行人、重大税收违法案件当事人名单、政府采购严重违法失信行为记录名单（处罚期限届满的除外）（以“信用中国”网站（www.creditchina.gov.cn）信用报告及中国政府采购网（www.ccgp.gov.cn）查询结果为准，提供网站截图并加盖供应商公章；</w:t>
      </w:r>
    </w:p>
    <w:p>
      <w:pPr>
        <w:pStyle w:val="null3"/>
      </w:pPr>
      <w:r>
        <w:rPr>
          <w:rFonts w:ascii="仿宋_GB2312" w:hAnsi="仿宋_GB2312" w:cs="仿宋_GB2312" w:eastAsia="仿宋_GB2312"/>
        </w:rPr>
        <w:t>8、无重大违法记录声明：供应商须出具参加采购活动前三年内，在经营活动中没有重大违法记录声明原件。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渭南市互联网信息办公室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渭南市车雷街69号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渭南市互联网信息办公室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0913-2930108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中金国际项目管理有限公司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西安市雁塔区雁翔路与南三环交汇处旺座曲江E座13楼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赵蒙蒙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0913-8100060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开户名称：中金国际项目管理有限公司</w:t>
            </w:r>
          </w:p>
          <w:p>
            <w:pPr>
              <w:pStyle w:val="null3"/>
            </w:pPr>
            <w:r>
              <w:rPr>
                <w:rFonts w:ascii="仿宋_GB2312" w:hAnsi="仿宋_GB2312" w:cs="仿宋_GB2312" w:eastAsia="仿宋_GB2312"/>
              </w:rPr>
              <w:t>开户银行：中国民生银行股份有限公司西安曲江文创支行</w:t>
            </w:r>
          </w:p>
          <w:p>
            <w:pPr>
              <w:pStyle w:val="null3"/>
            </w:pPr>
            <w:r>
              <w:rPr>
                <w:rFonts w:ascii="仿宋_GB2312" w:hAnsi="仿宋_GB2312" w:cs="仿宋_GB2312" w:eastAsia="仿宋_GB2312"/>
              </w:rPr>
              <w:t>银行账号：612009978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招标代理服务收费管理暂行办法》（计价格[2002]1980号）、《国家发展改革委关于降低部分建设项目收费标准规范收费行为等有关问题的通知》（发改价格[2011]534号）、依据国家发展改革委员会办公厅颁发的《关于招标代理服务收费有关问题的通知》（发改办价格[2003]857号）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渭南市互联网信息办公室</w:t>
      </w:r>
      <w:r>
        <w:rPr>
          <w:rFonts w:ascii="仿宋_GB2312" w:hAnsi="仿宋_GB2312" w:cs="仿宋_GB2312" w:eastAsia="仿宋_GB2312"/>
        </w:rPr>
        <w:t>和</w:t>
      </w:r>
      <w:r>
        <w:rPr>
          <w:rFonts w:ascii="仿宋_GB2312" w:hAnsi="仿宋_GB2312" w:cs="仿宋_GB2312" w:eastAsia="仿宋_GB2312"/>
        </w:rPr>
        <w:t>中金国际项目管理有限公司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渭南市互联网信息办公室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中金国际项目管理有限公司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渭南市互联网信息办公室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中金国际项目管理有限公司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按采购文件、响应文件及澄清函、项目检查情 况等综合指标进行验收。各项指标均应符合验收标准及要求。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联系人：赵蒙蒙</w:t>
      </w:r>
    </w:p>
    <w:p>
      <w:pPr>
        <w:pStyle w:val="null3"/>
      </w:pPr>
      <w:r>
        <w:rPr>
          <w:rFonts w:ascii="仿宋_GB2312" w:hAnsi="仿宋_GB2312" w:cs="仿宋_GB2312" w:eastAsia="仿宋_GB2312"/>
        </w:rPr>
        <w:t>联系电话：0913-8100060</w:t>
      </w:r>
    </w:p>
    <w:p>
      <w:pPr>
        <w:pStyle w:val="null3"/>
      </w:pPr>
      <w:r>
        <w:rPr>
          <w:rFonts w:ascii="仿宋_GB2312" w:hAnsi="仿宋_GB2312" w:cs="仿宋_GB2312" w:eastAsia="仿宋_GB2312"/>
        </w:rPr>
        <w:t>地址：西安市雁塔区雁翔路与南三环交汇处旺座曲江E座13楼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渭南市网络生态综合治理技术服务项目，具体内容详见服务内容。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渭南市网络生态综合治理技术服务项目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标的名称：渭南市网络生态综合治理技术服务项目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一、服务内容</w:t>
            </w:r>
          </w:p>
          <w:p>
            <w:pPr>
              <w:pStyle w:val="null3"/>
              <w:jc w:val="both"/>
            </w:pPr>
            <w:r>
              <w:rPr>
                <w:rFonts w:ascii="仿宋_GB2312" w:hAnsi="仿宋_GB2312" w:cs="仿宋_GB2312" w:eastAsia="仿宋_GB2312"/>
                <w:sz w:val="24"/>
                <w:b/>
              </w:rPr>
              <w:t>（一）属地内容监管系统及人工服务</w:t>
            </w:r>
          </w:p>
          <w:p>
            <w:pPr>
              <w:pStyle w:val="null3"/>
              <w:jc w:val="both"/>
            </w:pPr>
            <w:r>
              <w:rPr>
                <w:rFonts w:ascii="仿宋_GB2312" w:hAnsi="仿宋_GB2312" w:cs="仿宋_GB2312" w:eastAsia="仿宋_GB2312"/>
                <w:sz w:val="24"/>
              </w:rPr>
              <w:t>1．系统支持平台及账号数量基本情况、预警信息、异常分析、平台及账号发布信息数量基本情况、专项行动、监测方案、有害信息数量情况展示功能；</w:t>
            </w:r>
          </w:p>
          <w:p>
            <w:pPr>
              <w:pStyle w:val="null3"/>
              <w:jc w:val="both"/>
            </w:pPr>
            <w:r>
              <w:rPr>
                <w:rFonts w:ascii="仿宋_GB2312" w:hAnsi="仿宋_GB2312" w:cs="仿宋_GB2312" w:eastAsia="仿宋_GB2312"/>
                <w:sz w:val="24"/>
              </w:rPr>
              <w:t>2．系统支持对属地网站、微信公众号数据可按照平台类型、主体类型、认证情况、标签、粉丝数量、月发文数量、名称、所在地区、平台状态进行筛选查询操作，并支持根据平台类型对数据的抓取方式、处理引擎、服务器配置及数据运行维护进行配置；</w:t>
            </w:r>
          </w:p>
          <w:p>
            <w:pPr>
              <w:pStyle w:val="null3"/>
              <w:jc w:val="both"/>
            </w:pPr>
            <w:r>
              <w:rPr>
                <w:rFonts w:ascii="仿宋_GB2312" w:hAnsi="仿宋_GB2312" w:cs="仿宋_GB2312" w:eastAsia="仿宋_GB2312"/>
                <w:sz w:val="24"/>
              </w:rPr>
              <w:t>3．系统支持通过AI技术对属地平台发布有害信息的网站和账号进行识别，将疑似有害信息推送至数据研判团队，由专业团队对数据再次进行筛选，实现用户的精准推送服务；系统对于问题账号进行列表展示，包括平台类型、主体类型、处置状态、认证情况、所在地区、问题类型等，支持数据的多维度查询，并查看问题账号的详情和内容，快速开展处置；</w:t>
            </w:r>
          </w:p>
          <w:p>
            <w:pPr>
              <w:pStyle w:val="null3"/>
              <w:jc w:val="both"/>
            </w:pPr>
            <w:r>
              <w:rPr>
                <w:rFonts w:ascii="仿宋_GB2312" w:hAnsi="仿宋_GB2312" w:cs="仿宋_GB2312" w:eastAsia="仿宋_GB2312"/>
                <w:sz w:val="24"/>
              </w:rPr>
              <w:t>4．系统支持对属地平台发布内容进行详情展示，包括信息标题、内容、作者、所在地区、发布时间等，支持按照标题、内容、地区、平台类型、主体类型进行多维度查询，并可快速收藏、复制原文标题内容和链接等。</w:t>
            </w:r>
          </w:p>
          <w:p>
            <w:pPr>
              <w:pStyle w:val="null3"/>
              <w:jc w:val="both"/>
            </w:pPr>
            <w:r>
              <w:rPr>
                <w:rFonts w:ascii="仿宋_GB2312" w:hAnsi="仿宋_GB2312" w:cs="仿宋_GB2312" w:eastAsia="仿宋_GB2312"/>
                <w:sz w:val="24"/>
              </w:rPr>
              <w:t>5．系统支持有害信息处置记录留档功能，并支持一键导出和快速处置有害信息；</w:t>
            </w:r>
          </w:p>
          <w:p>
            <w:pPr>
              <w:pStyle w:val="null3"/>
              <w:jc w:val="both"/>
            </w:pPr>
            <w:r>
              <w:rPr>
                <w:rFonts w:ascii="仿宋_GB2312" w:hAnsi="仿宋_GB2312" w:cs="仿宋_GB2312" w:eastAsia="仿宋_GB2312"/>
                <w:sz w:val="24"/>
              </w:rPr>
              <w:t>6．系统支持用户根据需求定制化建立监测方案，实现全网专项行动快速排查。</w:t>
            </w:r>
          </w:p>
          <w:p>
            <w:pPr>
              <w:pStyle w:val="null3"/>
              <w:jc w:val="both"/>
            </w:pPr>
            <w:r>
              <w:rPr>
                <w:rFonts w:ascii="仿宋_GB2312" w:hAnsi="仿宋_GB2312" w:cs="仿宋_GB2312" w:eastAsia="仿宋_GB2312"/>
                <w:sz w:val="24"/>
              </w:rPr>
              <w:t>7．系统支持用户对属地各大平台信息监测获取的需求，通过关键字设置或定向监测的方式，实现对指定信息的快速获取。</w:t>
            </w:r>
          </w:p>
          <w:p>
            <w:pPr>
              <w:pStyle w:val="null3"/>
              <w:jc w:val="both"/>
            </w:pPr>
            <w:r>
              <w:rPr>
                <w:rFonts w:ascii="仿宋_GB2312" w:hAnsi="仿宋_GB2312" w:cs="仿宋_GB2312" w:eastAsia="仿宋_GB2312"/>
                <w:sz w:val="24"/>
              </w:rPr>
              <w:t>8．系统支持用户自定义生成图表化的专项行动报告，可下载到用户本地进行各种留档处理；</w:t>
            </w:r>
          </w:p>
          <w:p>
            <w:pPr>
              <w:pStyle w:val="null3"/>
              <w:jc w:val="both"/>
            </w:pPr>
            <w:r>
              <w:rPr>
                <w:rFonts w:ascii="仿宋_GB2312" w:hAnsi="仿宋_GB2312" w:cs="仿宋_GB2312" w:eastAsia="仿宋_GB2312"/>
                <w:sz w:val="24"/>
              </w:rPr>
              <w:t>9．供应商应安排专业人工团队对采购人属地网站的网站内容和状态进行二次人工分析审核，采购人属地网站如果出现违法违规或者内容被黑客篡改的情况，系统将第一时间预警，并有专业团队二次人工提示。</w:t>
            </w:r>
          </w:p>
          <w:p>
            <w:pPr>
              <w:pStyle w:val="null3"/>
              <w:jc w:val="both"/>
            </w:pPr>
            <w:r>
              <w:rPr>
                <w:rFonts w:ascii="仿宋_GB2312" w:hAnsi="仿宋_GB2312" w:cs="仿宋_GB2312" w:eastAsia="仿宋_GB2312"/>
                <w:sz w:val="24"/>
              </w:rPr>
              <w:t>10.供应商应安排微信公众号账户内容审核团队，每天为采购人整理属地新发现微信公众号用户的基本资料信息。</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“固定表述错误”排查服务</w:t>
            </w:r>
          </w:p>
          <w:p>
            <w:pPr>
              <w:pStyle w:val="null3"/>
              <w:jc w:val="both"/>
            </w:pPr>
            <w:r>
              <w:rPr>
                <w:rFonts w:ascii="仿宋_GB2312" w:hAnsi="仿宋_GB2312" w:cs="仿宋_GB2312" w:eastAsia="仿宋_GB2312"/>
                <w:sz w:val="24"/>
              </w:rPr>
              <w:t>系统支持通过设置错别字专项方案的方式，对属地平台发布内容中的政治类固定表述错误进行全面排查，并支持对发布固定表述错误的平台账号进行列表展示。配备人工服务团队，对系统发现的政治类固定表述错误进行二次人工排查并进行人工预警，及时反馈相关信息并提出修改建议。</w:t>
            </w:r>
          </w:p>
          <w:p>
            <w:pPr>
              <w:pStyle w:val="null3"/>
              <w:jc w:val="both"/>
            </w:pPr>
            <w:r>
              <w:rPr>
                <w:rFonts w:ascii="仿宋_GB2312" w:hAnsi="仿宋_GB2312" w:cs="仿宋_GB2312" w:eastAsia="仿宋_GB2312"/>
                <w:sz w:val="24"/>
                <w:b/>
              </w:rPr>
              <w:t>（三）有害信息报送服务</w:t>
            </w:r>
          </w:p>
          <w:p>
            <w:pPr>
              <w:pStyle w:val="null3"/>
              <w:jc w:val="both"/>
            </w:pPr>
            <w:r>
              <w:rPr>
                <w:rFonts w:ascii="仿宋_GB2312" w:hAnsi="仿宋_GB2312" w:cs="仿宋_GB2312" w:eastAsia="仿宋_GB2312"/>
                <w:sz w:val="24"/>
              </w:rPr>
              <w:t>对全网发布有害信息的账号与内容进行识别，及时发现疑似有害信息，并进行证据固定。供应商应配备人工服务对数据进行二次筛选，为采购人实现精准推送服务。</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1"/>
                <w:b/>
              </w:rPr>
              <w:t>二、商务要求</w:t>
            </w:r>
          </w:p>
          <w:p>
            <w:pPr>
              <w:pStyle w:val="null3"/>
              <w:numPr>
                <w:ilvl w:val="0"/>
                <w:numId w:val="1"/>
              </w:numPr>
              <w:jc w:val="both"/>
            </w:pPr>
            <w:r>
              <w:rPr>
                <w:rFonts w:ascii="仿宋_GB2312" w:hAnsi="仿宋_GB2312" w:cs="仿宋_GB2312" w:eastAsia="仿宋_GB2312"/>
                <w:sz w:val="24"/>
              </w:rPr>
              <w:t>合同履行期限：自合同签订之日起一年</w:t>
            </w:r>
          </w:p>
          <w:p>
            <w:pPr>
              <w:pStyle w:val="null3"/>
              <w:numPr>
                <w:ilvl w:val="0"/>
                <w:numId w:val="1"/>
              </w:numPr>
              <w:jc w:val="both"/>
            </w:pPr>
            <w:r>
              <w:rPr>
                <w:rFonts w:ascii="仿宋_GB2312" w:hAnsi="仿宋_GB2312" w:cs="仿宋_GB2312" w:eastAsia="仿宋_GB2312"/>
                <w:sz w:val="24"/>
              </w:rPr>
              <w:t>服务地点：采购人指定地点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满足采购需求，确保采购项目顺利实施。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满足采购需求，确保采购项目顺利实施。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1、违约责任按《中华人民共和国民法典》处理中的相关条款执行。 2、乙方履约延误 2-1、如乙方事先未征得甲方同意并得到甲方的谅解而单方面延迟提供服务，将按违约终止合同。 2-2、乙方必须严格按照服务期要求执行，超期甲方不予支付合同款，同时保留追究相关责任的权利。 2-3、违约终止合同：未按合同要求提供服务，甲方会同监督机构有权终止合同，对乙方违约行为进行追究，同时按政府采购法的有关规定进行相应的处罚。 2、解决争议的方法 凡因本合同引起的或与本合同有关的争议，双方应友好协商解决。协商不成时，双方均同意采用以下第（ ）种争议解决方式： （1）甲、乙双方均同意向（甲方所在地人民法院）提起诉讼。 （2）甲、乙双方均同意向（仲裁委员会）提起仲裁。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人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签字盖章。2.如采购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有独立承担民事责任能力的企业法人或其他组织，提供合格有效的企业法人营业执照副本，税务登记证副本，组织机构代码证副本（或多证合一的统一社会信用代码的营业执照副本）；</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供应商应授权合法的人员参加采购全过程，法定代表人直接参加的须提交其身份证原件及法定代表人证明书，法定代表人授权代表参加采购的，须出具法定代表人授权书及被授权人身份证证及委托人在近3个月内任意一个月缴纳的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履行本合同所必需的设备和专业技术能力的书面声明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提供供应商近一年任意一个月的社会保障资金缴存单据或社保机构开具的社会保险参保缴费情况证明；依法不需要缴纳社会保障资金的应提供相关文件证明；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提供供应商近一年已缴纳任意一个月完税凭证 或税务机关开具的完税证明（任意税种）；依法免税的应提供相关文件证明；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应在采购截止日前未被列入失信被执行人、重大税收违法案件当事人名单、政府采购严重违法失信行为记录名单（处罚期限届满的除外）（以“信用中国”网站（www.creditchina.gov.cn）信用报告及中国政府采购网（www.ccgp.gov.cn）查询结果为准，提供网站截图并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供应商须出具参加采购活动前三年内，在经营活动中没有重大违法记录声明原件。</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1、报价唯一；2、报价货币符合采购文件要求; 3、未超出采购预算或采购文件规定的最高限价。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响应文件符合采购文件签署盖章要求。</w:t>
            </w:r>
          </w:p>
        </w:tc>
        <w:tc>
          <w:tcPr>
            <w:tcW w:type="dxa" w:w="1661"/>
          </w:tcPr>
          <w:p>
            <w:pPr>
              <w:pStyle w:val="null3"/>
            </w:pPr>
            <w:r>
              <w:rPr>
                <w:rFonts w:ascii="仿宋_GB2312" w:hAnsi="仿宋_GB2312" w:cs="仿宋_GB2312" w:eastAsia="仿宋_GB2312"/>
              </w:rPr>
              <w:t>服务内容及服务邀请应答表 中小企业声明函 商务应答表 报价表 业绩证明文件.docx 资格证明文件.docx 响应文件封面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响应采购文件合同条款未出现负偏离且响应的 内容中未附有采购人不能接受的附加条件。</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根据供应商为本项目提供的服务方案包含不限于：①对项目的理解与认识；②项目重点难点分析；③服务方案；④团队人员分工及安排；⑤应急预案；⑥项目服务制度。二、评审标准：服务方案各部分内容全面详细、阐述条理清晰详尽、符合本项目采购需求得30分，每缺一项内容扣5分，评审内容有瑕疵的根据情况扣分，扣完为止。 备注：评审内容“瑕疵”是 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 ①质量保障措施；②项目进度安排；③培训计划。 二、评审标准：质量保障措施各部分内容全面详细、阐述条理清晰详尽、符合本项目采购需求得9分，每缺一项内容扣3分，评审内容有瑕疵的根据情况扣分 ，扣完为止。 备注：评审内容“瑕疵”是指：内容粗略、逻辑混乱、 描述过于简单、与项目特点不匹配 、逻辑漏洞、出现常识性错误、存 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一、评审内容：①售后服务响应；②售后服务人员安排；③售后方案。二、评审标准：质量保障措施各部分内容全面详细、阐述条理清晰详尽、符合本项目采购需求得9分，每缺一项内容扣3分 ，评审内容有瑕疵的根据情况扣分 ，扣完为止。 备注：评审内容“瑕疵”是指：内容粗略、逻辑混乱、 描述过于简单、与项目特点不匹配 、逻辑漏洞、出现常识性错误、存 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供应商拟投入本项目的专业成员：团队成员具备高级数据库管理工程师、具备高级软件工程师、信息系统项目管理师（高级）、PMP 证书，每具备一个证书得 2 分，最高得 10 分。服务团队团队需具备高级YQ分析师，每提供 1个得 1分，最多得 5 分。 注：提供上述所有人员相关学历证书或职业资格证书或能佐证的其他证明材料扫描件，人员不重复得分。所有人员须提供近半年的养老保险缴纳证明。</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供应商具备属地系统相关软件著作权证书，每具备 1 个得 1 分，最多得 3 分。 供应商具备通过中国国际科技促进会发布的行业团体标准，提供红头文件。得1分，最多得 2分。供应商具有经过国家互联网信息办公室备案过互联网信息服务算法，提供相关截图证明材料。得 1分。供应商的监测系统具备信息安全等级保护备案证明三级及以上的得 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供应商提供2023年01月（以合同签订时间为准）至今类似项目业绩（业绩以合同为依据），每提供一个业绩证明计2分，满分10分。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满足采购文件内容及技术要求且磋 商报价最低的投标价为评标基准价 ，其价格分为满分。 磋商报价得分 =（评标基准价／投标报价）×价格权值×100。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