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版本号：ZCSP-渭南市-2025-00912、DLCG2025-09720251230002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渭南市电子政务外网村镇延伸建设项目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ZCSP-渭南市-2025-00912、DLCG2025-097</w:t>
      </w:r>
      <w:r>
        <w:br/>
      </w:r>
      <w:r>
        <w:br/>
      </w:r>
      <w:r>
        <w:br/>
      </w:r>
    </w:p>
    <w:p>
      <w:pPr>
        <w:pStyle w:val="null3"/>
        <w:jc w:val="center"/>
        <w:outlineLvl w:val="2"/>
      </w:pPr>
      <w:r>
        <w:rPr>
          <w:rFonts w:ascii="仿宋_GB2312" w:hAnsi="仿宋_GB2312" w:cs="仿宋_GB2312" w:eastAsia="仿宋_GB2312"/>
          <w:sz w:val="28"/>
          <w:b/>
        </w:rPr>
        <w:t>渭南市数据服务中心</w:t>
      </w:r>
    </w:p>
    <w:p>
      <w:pPr>
        <w:pStyle w:val="null3"/>
        <w:jc w:val="center"/>
        <w:outlineLvl w:val="2"/>
      </w:pPr>
      <w:r>
        <w:rPr>
          <w:rFonts w:ascii="仿宋_GB2312" w:hAnsi="仿宋_GB2312" w:cs="仿宋_GB2312" w:eastAsia="仿宋_GB2312"/>
          <w:sz w:val="28"/>
          <w:b/>
        </w:rPr>
        <w:t>陕西鼎力中创项目管理有限公司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陕西鼎力中创项目管理有限公司</w:t>
      </w:r>
      <w:r>
        <w:rPr>
          <w:rFonts w:ascii="仿宋_GB2312" w:hAnsi="仿宋_GB2312" w:cs="仿宋_GB2312" w:eastAsia="仿宋_GB2312"/>
        </w:rPr>
        <w:t>（以下简称“代理机构”）受</w:t>
      </w:r>
      <w:r>
        <w:rPr>
          <w:rFonts w:ascii="仿宋_GB2312" w:hAnsi="仿宋_GB2312" w:cs="仿宋_GB2312" w:eastAsia="仿宋_GB2312"/>
        </w:rPr>
        <w:t>渭南市数据服务中心</w:t>
      </w:r>
      <w:r>
        <w:rPr>
          <w:rFonts w:ascii="仿宋_GB2312" w:hAnsi="仿宋_GB2312" w:cs="仿宋_GB2312" w:eastAsia="仿宋_GB2312"/>
        </w:rPr>
        <w:t>委托，拟对</w:t>
      </w:r>
      <w:r>
        <w:rPr>
          <w:rFonts w:ascii="仿宋_GB2312" w:hAnsi="仿宋_GB2312" w:cs="仿宋_GB2312" w:eastAsia="仿宋_GB2312"/>
        </w:rPr>
        <w:t>渭南市电子政务外网村镇延伸建设项目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ZCSP-渭南市-2025-00912、DLCG2025-097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渭南市电子政务外网村镇延伸建设项目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完成渭南市电子政务外网村镇延伸建设项目全部内容。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投标人应授权合法的人员参加投标全过程，其中法定代表人（或负责人）直接参加投标的，须出具该法定代表人（或负责人）身份证明，并与营业执照上信息一致。法定代表人（或负责人）授权代表参加投标的，须出具法定代表人（或负责人）授权书及授权代表身份证明。</w:t>
      </w:r>
    </w:p>
    <w:p>
      <w:pPr>
        <w:pStyle w:val="null3"/>
      </w:pPr>
      <w:r>
        <w:rPr>
          <w:rFonts w:ascii="仿宋_GB2312" w:hAnsi="仿宋_GB2312" w:cs="仿宋_GB2312" w:eastAsia="仿宋_GB2312"/>
        </w:rPr>
        <w:t>2、信用信息：投标人未列入“信用中国”网站（www.creditchina.gov.cn）失信被执行人、重大税收违法失信主体、政府采购严重违法失信行为记录名单和中国政府采购网（www.ccgp.gov.cn）政府采购严重违法失信行为记录名单；</w:t>
      </w:r>
    </w:p>
    <w:p>
      <w:pPr>
        <w:pStyle w:val="null3"/>
      </w:pPr>
      <w:r>
        <w:rPr>
          <w:rFonts w:ascii="仿宋_GB2312" w:hAnsi="仿宋_GB2312" w:cs="仿宋_GB2312" w:eastAsia="仿宋_GB2312"/>
        </w:rPr>
        <w:t>3、供应商不得存在的情形：投标人不得存在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渭南市数据服务中心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0913-2930456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陕西鼎力中创项目管理有限公司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渭南市临渭区乐天大街碧桂园翡翠公馆北门11栋商铺2层208号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郑琳娜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0913-2185335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开户名称：陕西鼎力中创项目管理有限公司</w:t>
            </w:r>
          </w:p>
          <w:p>
            <w:pPr>
              <w:pStyle w:val="null3"/>
            </w:pPr>
            <w:r>
              <w:rPr>
                <w:rFonts w:ascii="仿宋_GB2312" w:hAnsi="仿宋_GB2312" w:cs="仿宋_GB2312" w:eastAsia="仿宋_GB2312"/>
              </w:rPr>
              <w:t>开户银行：工行渭南仓程路支行</w:t>
            </w:r>
          </w:p>
          <w:p>
            <w:pPr>
              <w:pStyle w:val="null3"/>
            </w:pPr>
            <w:r>
              <w:rPr>
                <w:rFonts w:ascii="仿宋_GB2312" w:hAnsi="仿宋_GB2312" w:cs="仿宋_GB2312" w:eastAsia="仿宋_GB2312"/>
              </w:rPr>
              <w:t>银行账号：2605 0259 1910 0033 019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 857号）的有关规定标准，成交供应商向采购代理机构一次付清采购代理服务费。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渭南市数据服务中心</w:t>
      </w:r>
      <w:r>
        <w:rPr>
          <w:rFonts w:ascii="仿宋_GB2312" w:hAnsi="仿宋_GB2312" w:cs="仿宋_GB2312" w:eastAsia="仿宋_GB2312"/>
        </w:rPr>
        <w:t>和</w:t>
      </w:r>
      <w:r>
        <w:rPr>
          <w:rFonts w:ascii="仿宋_GB2312" w:hAnsi="仿宋_GB2312" w:cs="仿宋_GB2312" w:eastAsia="仿宋_GB2312"/>
        </w:rPr>
        <w:t>陕西鼎力中创项目管理有限公司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渭南市数据服务中心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陕西鼎力中创项目管理有限公司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渭南市数据服务中心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陕西鼎力中创项目管理有限公司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2、所有产品均已运输至指定地点，并安装调试完毕。 3、采购文件供应商投标承诺及采购合同约定的附件、工具、技术资料等齐全；提供产品使用说明书、合格证。 4、符合渭南市数据服务中心关于电子政务外网安全管理的相关规定，设备接入后需通过省级 “矛盾调解信息管理系统” 兼容性测试，实现数据互通，基层业务数据可正常上传</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陕西鼎力中创项目管理有限公司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联系人：郑琳娜</w:t>
      </w:r>
    </w:p>
    <w:p>
      <w:pPr>
        <w:pStyle w:val="null3"/>
      </w:pPr>
      <w:r>
        <w:rPr>
          <w:rFonts w:ascii="仿宋_GB2312" w:hAnsi="仿宋_GB2312" w:cs="仿宋_GB2312" w:eastAsia="仿宋_GB2312"/>
        </w:rPr>
        <w:t>联系电话：0913-2185335</w:t>
      </w:r>
    </w:p>
    <w:p>
      <w:pPr>
        <w:pStyle w:val="null3"/>
      </w:pPr>
      <w:r>
        <w:rPr>
          <w:rFonts w:ascii="仿宋_GB2312" w:hAnsi="仿宋_GB2312" w:cs="仿宋_GB2312" w:eastAsia="仿宋_GB2312"/>
        </w:rPr>
        <w:t>地址：渭南市临渭区乐天大街碧桂园翡翠公馆北门11栋商铺2层208号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完成渭南市电子政务外网村镇延伸建设项目全部内容。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渭南市电子政务外网村镇延伸建设项目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标的名称：渭南市电子政务外网村镇延伸建设项目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VPN综合网关（12台）：满足6+2的国产化要求，使用国产化CPU及国产化操作系统；IPSEC加密流量≥100Mbps，并发隧道数≥1000；SSL加密流量≥300Mbps，并发用户数≥600；接口≥6千兆电口，≥4千兆光口SFP；1U机箱。提供300套VPN接入授权软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平台部署</w:t>
            </w:r>
          </w:p>
          <w:p>
            <w:pPr>
              <w:pStyle w:val="null3"/>
            </w:pPr>
            <w:r>
              <w:rPr>
                <w:rFonts w:ascii="仿宋_GB2312" w:hAnsi="仿宋_GB2312" w:cs="仿宋_GB2312" w:eastAsia="仿宋_GB2312"/>
                <w:sz w:val="21"/>
              </w:rPr>
              <w:t>网络部署：综合网关应支持IPV4/IPV6双栈网络IP配置，可自主选择配置LAN口或WAN口。为了保护设备的安全，可支持默认限制所有IP通过WAN口访问系统，支持通过配置白名单的方式来放通接入的需求。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端口聚合：综合网关部署时支持配置聚合网口，并支持将聚合网口作为综合网关的网络部署IP。聚合网口支持通过哈希或802.3ad等标准对闲置网口进行网口绑定，支持通过ARP探测机制对聚合网口进行健康检查。</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授权共享：集群下各中心的VPN接入授权软件均可共享使用，集群的总VPN接入授权软件数量是各中心授权数的总和。</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资源发布</w:t>
            </w:r>
          </w:p>
          <w:p>
            <w:pPr>
              <w:pStyle w:val="null3"/>
            </w:pPr>
            <w:r>
              <w:rPr>
                <w:rFonts w:ascii="仿宋_GB2312" w:hAnsi="仿宋_GB2312" w:cs="仿宋_GB2312" w:eastAsia="仿宋_GB2312"/>
                <w:sz w:val="21"/>
              </w:rPr>
              <w:t>隧道发布资源：隧道模式全面拥抱 TCP、UDP、ICMP 等主流协议，可发布 IPv4/IPv6 的单地址、地址段、精确域名、通配符地址，收缩日常办公系统攻击面。配置一条资源时，允许一次性绑定多个后端地址，零额外操作；遇到特殊业务情况，管理员还能一键切换“长连接”或“短连接”策略，让代理行为随场景而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WEB业务发布：采用WEB业务代理方案，可统一通过HTTP/HTTPS协议接入各类Web系统；支持以IPv4、IPv6或域名方式发布服务，并可精细设定URL路径。针对内外网并存的复杂环境，同一Web应用可绑定多个前端入口地址，灵活适配不同网络链路。若部署了前置代理，还能自动读取X-Forwarded-For头，还原真实客户端IP。</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WEB业务代理：Web 模式发布内部应用时，可一键切换“透明代理”或“智慧适配”两种模式：可让标准化系统即接即用；也可适配复杂老旧的WEB站点。</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终端接入</w:t>
            </w:r>
          </w:p>
          <w:p>
            <w:pPr>
              <w:pStyle w:val="null3"/>
            </w:pPr>
            <w:r>
              <w:rPr>
                <w:rFonts w:ascii="仿宋_GB2312" w:hAnsi="仿宋_GB2312" w:cs="仿宋_GB2312" w:eastAsia="仿宋_GB2312"/>
                <w:sz w:val="21"/>
              </w:rPr>
              <w:t>国产终端兼容性：为了保障用户在政务国产化终端上的正常业务访问，客户端应兼容主流国产硬件CPU的国产操作系统终端。</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rPr>
              <w:t>非国产终端兼容性：客户端应兼容主流非国产终端</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1"/>
              </w:rPr>
              <w:t>开机自启动：支持用户自主设置是否开启开机自启动客户端。</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rPr>
              <w:t>单用户带宽限制：支持管理员配置指定用户的带宽限制，可精确配置上下行带宽。</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性能优化：为提升在弱网络环境下用户访问体验，系统应支持优化传输控制协议，增强隧道丢包恢复、抗抖动特性，实现弱网环境的访问加速。</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1"/>
              </w:rPr>
              <w:t>终端自管理：用户可随时查看自己账号的「在线/离线」的全部设备清单，还能查看历次登录的终端信息，一键移除可疑终端，防止被冒用。</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密码找回：允许用户通过短信验证码等方式自助找回密码；PC端和移动端均可通过点击忘记密码来重置密码。</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1"/>
              </w:rPr>
              <w:t>认证管理</w:t>
            </w:r>
          </w:p>
          <w:p>
            <w:pPr>
              <w:pStyle w:val="null3"/>
            </w:pPr>
            <w:r>
              <w:rPr>
                <w:rFonts w:ascii="仿宋_GB2312" w:hAnsi="仿宋_GB2312" w:cs="仿宋_GB2312" w:eastAsia="仿宋_GB2312"/>
                <w:sz w:val="21"/>
              </w:rPr>
              <w:t>多因子认证：为了确保用户身份安全，支持多因子认证，支持管理员结合已对接的主要认证和辅认证类型进行设置，可选择首次认证+二次认证+终端认证+增强认证等方式。</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免辅助认证：员工可一键将常用浏览器标为可信状态，在管理员设定的 1天到3个月内的有效期内再次登录无需任何辅助验证，降低操作复杂性。</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sz w:val="21"/>
              </w:rPr>
              <w:t>自适应认证：为保障接入政务网络的安全性，支持用户在触发异常场景时，用户需完成增强认证才可登录。包括但不限于账号首次上线、首次在某设备登录、首次在某地理位置登录、出现在新地点、偏离常用地点、长期闲置后重新登录、使用弱口令、在非常规时段访问等场景。</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sz w:val="21"/>
              </w:rPr>
              <w:t>单点登录：支持账号密码代填单点登录，可自动识别登录页面的用户名和密码输入框，根据预设的规则自动填写WEB业务系统的账号密码并登录；可以设置由终端用户自定义输入或管理员设定固定值登录。</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sz w:val="21"/>
              </w:rPr>
              <w:t>用户管理</w:t>
            </w:r>
          </w:p>
          <w:p>
            <w:pPr>
              <w:pStyle w:val="null3"/>
            </w:pPr>
            <w:r>
              <w:rPr>
                <w:rFonts w:ascii="仿宋_GB2312" w:hAnsi="仿宋_GB2312" w:cs="仿宋_GB2312" w:eastAsia="仿宋_GB2312"/>
                <w:sz w:val="21"/>
              </w:rPr>
              <w:t>本地用户管理：支持通过组织架构、角色等方式进行本地用户管理，新增或修改本地用户时，可编辑的用户属性。</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sz w:val="21"/>
              </w:rPr>
              <w:t>批量导入/导出用户：为减少用户创建难度，支持批量导入/导出，支持按固定的表格模板格式，批量导入用户或批量导入组织架构，可自动创建新的组织架构适应未存在的组织架构。</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弱密码管理：为保障密码安全，支持管理员自行配置单位的弱密码库，可配置10W行以上的弱密码；管理员可自定义用户密码组合方式是否需要包含字母、数字、特殊字符、不能包含连续重复字符等。</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sz w:val="21"/>
              </w:rPr>
              <w:t>安全特性</w:t>
            </w:r>
          </w:p>
          <w:p>
            <w:pPr>
              <w:pStyle w:val="null3"/>
            </w:pPr>
            <w:r>
              <w:rPr>
                <w:rFonts w:ascii="仿宋_GB2312" w:hAnsi="仿宋_GB2312" w:cs="仿宋_GB2312" w:eastAsia="仿宋_GB2312"/>
                <w:sz w:val="21"/>
              </w:rPr>
              <w:t>服务隐身：为减少网络和业务的“攻击面”，平台必须自带“单包敲门”功能：采用 UDP+TCP 双协议组合，未授权者既连不上设备，也扫不到任何端口，杜绝敲门放大风险；无论 PC端还是移动端，可用“安全码”一键激活客户端，获得单包敲门和接入权限。安全码可设成“多人共享”或“一人一码”，灵活兼顾效率与精细管控。</w:t>
            </w:r>
          </w:p>
        </w:tc>
      </w:tr>
      <w:tr>
        <w:tc>
          <w:tcPr>
            <w:tcW w:type="dxa" w:w="2769"/>
          </w:tcPr>
          <w:p>
            <w:pPr>
              <w:pStyle w:val="null3"/>
            </w:pPr>
            <w:r>
              <w:rPr>
                <w:rFonts w:ascii="仿宋_GB2312" w:hAnsi="仿宋_GB2312" w:cs="仿宋_GB2312" w:eastAsia="仿宋_GB2312"/>
              </w:rPr>
              <w:t>23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接入安全检查：支持对免认证应用的授信证书和前端地址、是否启用了防中间人攻击、监测端口开启、是否启用应用安全防护进行检查，确保接入安全。</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sz w:val="21"/>
              </w:rPr>
              <w:t>虚拟专线：支持通过桌面悬浮球的方式，用户可一键切换内网或互联网，可自动断开互联网连接，避免互联网威胁影响内网业务系统。</w:t>
            </w:r>
          </w:p>
        </w:tc>
      </w:tr>
      <w:tr>
        <w:tc>
          <w:tcPr>
            <w:tcW w:type="dxa" w:w="2769"/>
          </w:tcPr>
          <w:p>
            <w:pPr>
              <w:pStyle w:val="null3"/>
            </w:pPr>
            <w:r>
              <w:rPr>
                <w:rFonts w:ascii="仿宋_GB2312" w:hAnsi="仿宋_GB2312" w:cs="仿宋_GB2312" w:eastAsia="仿宋_GB2312"/>
              </w:rPr>
              <w:t>25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策略联动：可联动单位现有的终端安全管理系统的检测评分作为策略条件，对终端入网进行管控。</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sz w:val="21"/>
              </w:rPr>
              <w:t>分权管理</w:t>
            </w:r>
          </w:p>
          <w:p>
            <w:pPr>
              <w:pStyle w:val="null3"/>
            </w:pPr>
            <w:r>
              <w:rPr>
                <w:rFonts w:ascii="仿宋_GB2312" w:hAnsi="仿宋_GB2312" w:cs="仿宋_GB2312" w:eastAsia="仿宋_GB2312"/>
                <w:sz w:val="21"/>
              </w:rPr>
              <w:t>分级分权：内置审计管理员、安全管理员、系统管理员等管理组；通过管理组管理权限的配置，实现管理员分级分权。内容权限管理模块支持按应用和用户粒度划分权限，如指定某管理员仅能管理指定的应用和指定的用户。</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sz w:val="21"/>
              </w:rPr>
              <w:t>管理员认证:支持管理员首次登录修改密码、支持配置密码有效期；支持给不同的管理员分配不同等级的认证策略。</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sz w:val="21"/>
              </w:rPr>
              <w:t>审计能力</w:t>
            </w:r>
          </w:p>
          <w:p>
            <w:pPr>
              <w:pStyle w:val="null3"/>
            </w:pPr>
            <w:r>
              <w:rPr>
                <w:rFonts w:ascii="仿宋_GB2312" w:hAnsi="仿宋_GB2312" w:cs="仿宋_GB2312" w:eastAsia="仿宋_GB2312"/>
                <w:sz w:val="21"/>
              </w:rPr>
              <w:t>日志记录:支持用户登录日志记录、管理员操作日志记录；系统可自动把“行为反常”的用户日志自动打标签，便于溯源追踪、审计，包括但不限于下述场景：账号异动——首次登录、深夜登录、异地登录、爆破撞库、沉睡账号复活、新设备首次出现；SPA攻击——fuzz 扫描、爆破敲门、伪造包、重放包、安全码泄露；通信劫持——中间人、会话被抢等，全部一键筛选、秒级定位。</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sz w:val="21"/>
              </w:rPr>
              <w:t>虚拟IP:支持以虚拟IP方式，访问真实的业务系统，虚拟IP支持IPv4、IPv6地址；支持独享虚拟IP模式，可配置一个独享IP池，在独享IP池中为用户分配指定的虚拟IP地址。虚拟IP分配日志通过第三方syslog的方式同步到网络威胁分析设备。</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sz w:val="21"/>
              </w:rPr>
              <w:t>运维方式</w:t>
            </w:r>
          </w:p>
          <w:p>
            <w:pPr>
              <w:pStyle w:val="null3"/>
            </w:pPr>
            <w:r>
              <w:rPr>
                <w:rFonts w:ascii="仿宋_GB2312" w:hAnsi="仿宋_GB2312" w:cs="仿宋_GB2312" w:eastAsia="仿宋_GB2312"/>
                <w:sz w:val="21"/>
              </w:rPr>
              <w:t>终端自诊断:支持终端环境检查，可针对客户端接入失败、业务访问失败、服务异常等进行诊断，减少IT运维人员工作。</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sz w:val="21"/>
              </w:rPr>
              <w:t>终端日志采集:支持管理员在控制台远程获取在线终端的日志，终端不在线时可待终端上线后自动收集日志，方便运维排查。</w:t>
            </w:r>
          </w:p>
        </w:tc>
      </w:tr>
      <w:tr>
        <w:tc>
          <w:tcPr>
            <w:tcW w:type="dxa" w:w="2769"/>
          </w:tcPr>
          <w:p>
            <w:pPr>
              <w:pStyle w:val="null3"/>
            </w:pPr>
            <w:r>
              <w:rPr>
                <w:rFonts w:ascii="仿宋_GB2312" w:hAnsi="仿宋_GB2312" w:cs="仿宋_GB2312" w:eastAsia="仿宋_GB2312"/>
              </w:rPr>
              <w:t>32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WEB 运维:支持在控制台上提供命令面板运维，内嵌常规的网络配置和排障命令，方便运维人员进行故障排查等维护工作。</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sz w:val="21"/>
              </w:rPr>
              <w:t>设备自安全</w:t>
            </w:r>
          </w:p>
          <w:p>
            <w:pPr>
              <w:pStyle w:val="null3"/>
            </w:pPr>
            <w:r>
              <w:rPr>
                <w:rFonts w:ascii="仿宋_GB2312" w:hAnsi="仿宋_GB2312" w:cs="仿宋_GB2312" w:eastAsia="仿宋_GB2312"/>
                <w:sz w:val="21"/>
              </w:rPr>
              <w:t>入侵防御:支持黑白名单机制进行入侵防护：仅允许白名单内的操作指令执行，自动阻断一切外部异常命令，实现主动防御，全面保障设备安全。</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sz w:val="21"/>
              </w:rPr>
              <w:t>WEB防御:支持WEB应用安全防护，可阻断基于WEB的攻击。</w:t>
            </w:r>
          </w:p>
        </w:tc>
      </w:tr>
      <w:tr>
        <w:tc>
          <w:tcPr>
            <w:tcW w:type="dxa" w:w="2769"/>
          </w:tcPr>
          <w:p>
            <w:pPr>
              <w:pStyle w:val="null3"/>
            </w:pPr>
            <w:r>
              <w:rPr>
                <w:rFonts w:ascii="仿宋_GB2312" w:hAnsi="仿宋_GB2312" w:cs="仿宋_GB2312" w:eastAsia="仿宋_GB2312"/>
              </w:rPr>
              <w:t>35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健康检查</w:t>
            </w:r>
          </w:p>
          <w:p>
            <w:pPr>
              <w:pStyle w:val="null3"/>
            </w:pPr>
            <w:r>
              <w:rPr>
                <w:rFonts w:ascii="仿宋_GB2312" w:hAnsi="仿宋_GB2312" w:cs="仿宋_GB2312" w:eastAsia="仿宋_GB2312"/>
                <w:sz w:val="21"/>
              </w:rPr>
              <w:t>稳定性检查:支持CPU、内存、网卡、硬盘大小和健康度、BIOS固件等硬件相关状态的检测，支持核心进程的状态检测，便于及时发现隐藏问题。</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sz w:val="21"/>
              </w:rPr>
              <w:t>日常巡检:支持一键自检，全面扫描设备安全策略与运行状态，自动生成评分报告，可本地查看或导出留存。</w:t>
            </w:r>
          </w:p>
        </w:tc>
      </w:tr>
      <w:tr>
        <w:tc>
          <w:tcPr>
            <w:tcW w:type="dxa" w:w="2769"/>
          </w:tcPr>
          <w:p>
            <w:pPr>
              <w:pStyle w:val="null3"/>
            </w:pPr>
            <w:r>
              <w:rPr>
                <w:rFonts w:ascii="仿宋_GB2312" w:hAnsi="仿宋_GB2312" w:cs="仿宋_GB2312" w:eastAsia="仿宋_GB2312"/>
              </w:rPr>
              <w:t>37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日志检查:支持对剩余日志空间、日志连通性进行检查。</w:t>
            </w:r>
          </w:p>
        </w:tc>
      </w:tr>
      <w:tr>
        <w:tc>
          <w:tcPr>
            <w:tcW w:type="dxa" w:w="2769"/>
          </w:tcPr>
          <w:p>
            <w:pPr>
              <w:pStyle w:val="null3"/>
            </w:pPr>
            <w:r>
              <w:rPr>
                <w:rFonts w:ascii="仿宋_GB2312" w:hAnsi="仿宋_GB2312" w:cs="仿宋_GB2312" w:eastAsia="仿宋_GB2312"/>
              </w:rPr>
              <w:t>38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端口安全检查:支持对运维远程端口是否开启、服务隐身是否开启、IP限制情况进行检查，确保端口安全。</w:t>
            </w:r>
          </w:p>
        </w:tc>
      </w:tr>
      <w:tr>
        <w:tc>
          <w:tcPr>
            <w:tcW w:type="dxa" w:w="2769"/>
          </w:tcPr>
          <w:p>
            <w:pPr>
              <w:pStyle w:val="null3"/>
            </w:pPr>
            <w:r>
              <w:rPr>
                <w:rFonts w:ascii="仿宋_GB2312" w:hAnsi="仿宋_GB2312" w:cs="仿宋_GB2312" w:eastAsia="仿宋_GB2312"/>
              </w:rPr>
              <w:t>39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合规性</w:t>
            </w:r>
          </w:p>
          <w:p>
            <w:pPr>
              <w:pStyle w:val="null3"/>
            </w:pPr>
            <w:r>
              <w:rPr>
                <w:rFonts w:ascii="仿宋_GB2312" w:hAnsi="仿宋_GB2312" w:cs="仿宋_GB2312" w:eastAsia="仿宋_GB2312"/>
                <w:sz w:val="21"/>
              </w:rPr>
              <w:t>商密算法:支持使用商密密码卡进行加密，客户端接入及控制台访问均应支持SM1、SM2、SM3、SM4等加密算法，提供的产品具备国家密码管理局商用密码检测认证中心颁发的《商用密码产品认证证书》。</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sz w:val="21"/>
              </w:rPr>
              <w:t>其他要求：</w:t>
            </w:r>
          </w:p>
          <w:p>
            <w:pPr>
              <w:pStyle w:val="null3"/>
            </w:pPr>
            <w:r>
              <w:rPr>
                <w:rFonts w:ascii="仿宋_GB2312" w:hAnsi="仿宋_GB2312" w:cs="仿宋_GB2312" w:eastAsia="仿宋_GB2312"/>
                <w:sz w:val="21"/>
              </w:rPr>
              <w:t>1.设备交付与验收</w:t>
            </w:r>
            <w:r>
              <w:br/>
            </w:r>
            <w:r>
              <w:rPr>
                <w:rFonts w:ascii="仿宋_GB2312" w:hAnsi="仿宋_GB2312" w:cs="仿宋_GB2312" w:eastAsia="仿宋_GB2312"/>
                <w:sz w:val="21"/>
              </w:rPr>
              <w:t xml:space="preserve"> 设备到货检验：到货设备需提供生产厂家出具的合格证明、信创产品认证证书、商用密码产品型号证书；外观无损坏，配件（含 6 千兆电口 + 4 千兆光口 SFP 接口配件）齐全，设备规格符合 1U 标准。</w:t>
            </w:r>
            <w:r>
              <w:br/>
            </w:r>
            <w:r>
              <w:rPr>
                <w:rFonts w:ascii="仿宋_GB2312" w:hAnsi="仿宋_GB2312" w:cs="仿宋_GB2312" w:eastAsia="仿宋_GB2312"/>
                <w:sz w:val="21"/>
              </w:rPr>
              <w:t xml:space="preserve"> 2.设备部署与调试</w:t>
            </w:r>
            <w:r>
              <w:br/>
            </w:r>
            <w:r>
              <w:rPr>
                <w:rFonts w:ascii="仿宋_GB2312" w:hAnsi="仿宋_GB2312" w:cs="仿宋_GB2312" w:eastAsia="仿宋_GB2312"/>
                <w:sz w:val="21"/>
              </w:rPr>
              <w:t xml:space="preserve"> 现场部署：按采购人指定地点完成设备安装、网络接入配置，确保设备与渭南市电子政务外网骨干网、省级 “矛盾调解信息管理系统” 互联互通。</w:t>
            </w:r>
            <w:r>
              <w:br/>
            </w:r>
            <w:r>
              <w:rPr>
                <w:rFonts w:ascii="仿宋_GB2312" w:hAnsi="仿宋_GB2312" w:cs="仿宋_GB2312" w:eastAsia="仿宋_GB2312"/>
                <w:sz w:val="21"/>
              </w:rPr>
              <w:t xml:space="preserve"> 功能调试：完成零信任接入机制配置（含身份认证、设备可信校验、链路加密）、终端访问痕迹清理策略配置、接入行为审计功能调试，确保各项功能满足本采购需求。</w:t>
            </w:r>
            <w:r>
              <w:br/>
            </w:r>
            <w:r>
              <w:rPr>
                <w:rFonts w:ascii="仿宋_GB2312" w:hAnsi="仿宋_GB2312" w:cs="仿宋_GB2312" w:eastAsia="仿宋_GB2312"/>
                <w:sz w:val="21"/>
              </w:rPr>
              <w:t xml:space="preserve"> 3.技术支持服务：</w:t>
            </w:r>
            <w:r>
              <w:br/>
            </w:r>
            <w:r>
              <w:rPr>
                <w:rFonts w:ascii="仿宋_GB2312" w:hAnsi="仿宋_GB2312" w:cs="仿宋_GB2312" w:eastAsia="仿宋_GB2312"/>
                <w:sz w:val="21"/>
              </w:rPr>
              <w:t xml:space="preserve"> 日常咨询：提供 7×24 小时电话、在线技术咨询服务，响应时间不超过 1 小时。</w:t>
            </w:r>
            <w:r>
              <w:br/>
            </w:r>
            <w:r>
              <w:rPr>
                <w:rFonts w:ascii="仿宋_GB2312" w:hAnsi="仿宋_GB2312" w:cs="仿宋_GB2312" w:eastAsia="仿宋_GB2312"/>
                <w:sz w:val="21"/>
              </w:rPr>
              <w:t xml:space="preserve"> 故障维修：设备故障时，4小时内提供远程排查服务；远程无法解决的，72小时内安排技术人员现场维修，维修期间需提供临时替代设备（若影响系统运行）。</w:t>
            </w:r>
            <w:r>
              <w:br/>
            </w:r>
            <w:r>
              <w:rPr>
                <w:rFonts w:ascii="仿宋_GB2312" w:hAnsi="仿宋_GB2312" w:cs="仿宋_GB2312" w:eastAsia="仿宋_GB2312"/>
                <w:sz w:val="21"/>
              </w:rPr>
              <w:t xml:space="preserve"> 软件升级：维保期内免费提供设备软件版本升级服务，升级前需提前 3 个工作日向采购人提交升级方案与应急预案。</w:t>
            </w:r>
            <w:r>
              <w:br/>
            </w:r>
            <w:r>
              <w:rPr>
                <w:rFonts w:ascii="仿宋_GB2312" w:hAnsi="仿宋_GB2312" w:cs="仿宋_GB2312" w:eastAsia="仿宋_GB2312"/>
                <w:sz w:val="21"/>
              </w:rPr>
              <w:t xml:space="preserve"> 4.培训服务：设备上线后30个工作日内，为镇村用户及政务系统管理员提供不少于 2 次操作培训（含现场培训、线上培训），培训内容包括设备基础操作、访问权限管理、常见问题排查，确保培训后管理员能独立完成日常运维。</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合同签订生效后60天内需要交货完毕、安装调试完成。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渭南市数据服务中心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 2、所有产品均已运输至指定地点，并安装调试完毕。 3、采购文件供应商投标承诺及采购合同约定的附件、工具、技术资料等齐全；提供产品使用说明书、合格证。 4、符合渭南市数据服务中心关于电子政务外网安全管理的相关规定，设备接入后需通过省级 “矛盾调解信息管理系统” 兼容性测试，实现数据互通，基层业务数据可正常上传。</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1、中标供应商在中标结果公告发布后3个工作日内提供叁套纸质投标文件（经编标工具生成的文件直接打印并加盖公章），递交的纸质版文件内容确保与线上电子文件保持一致，不允许修改和补充。 2.该项目采购标的为采购文件中明确的所属行业。供应商根据&lt;&lt;政府采购促进中小企业发展管理办法&gt;&gt;、&lt;&lt;关于印发中小企业划型标准规定的通知&gt;&gt;(工信部联企业(2011)300号)要求进行划型。 3.出具投标保证金交纳凭证或担保机构出具的保函（未按招标文件要求提供响应无效）。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1.1投标人应具备独立承担民事责任能力的法人、其他组织或自然人，提供合法有效的统一社会信用代码的营业执照副本或相关证明（自然人提供身份证复印件）； 1.2提供具有财务审计资质单位出具的2024年度的财务报告或投标文件提交截止时间前六个月内其基本账户银行出具的资信证明； 1.3提供投标文件提交截止时间前一年内任意一个月的社会保障资金缴存证明或社保机构开具的社会保险参保缴费情况证明； 1.4提供投标文件提交截止时间前一年内任意一个月的依法缴纳税收的相关证明，依法免税需提供相关证明材料； 1.5提供投标人参加政府采购活动前三年内经营活动中没有重大违法纪录的书面声明； 1.6提供具有履行合同所必需的设备和专业技术能力的声明。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投标人应授权合法的人员参加投标全过程，其中法定代表人（或负责人）直接参加投标的，须出具该法定代表人（或负责人）身份证明，并与营业执照上信息一致。法定代表人（或负责人）授权代表参加投标的，须出具法定代表人（或负责人）授权书及授权代表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投标人未列入“信用中国”网站（www.creditchina.gov.cn）失信被执行人、重大税收违法失信主体、政府采购严重违法失信行为记录名单和中国政府采购网（www.ccgp.gov.cn）政府采购严重违法失信行为记录名单；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供应商不得存在的情形</w:t>
            </w:r>
          </w:p>
        </w:tc>
        <w:tc>
          <w:tcPr>
            <w:tcW w:type="dxa" w:w="3322"/>
          </w:tcPr>
          <w:p>
            <w:pPr>
              <w:pStyle w:val="null3"/>
            </w:pPr>
            <w:r>
              <w:rPr>
                <w:rFonts w:ascii="仿宋_GB2312" w:hAnsi="仿宋_GB2312" w:cs="仿宋_GB2312" w:eastAsia="仿宋_GB2312"/>
              </w:rPr>
              <w:t>投标人不得存在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投标文件签字和盖章满足招标文件的要求。</w:t>
            </w:r>
          </w:p>
        </w:tc>
        <w:tc>
          <w:tcPr>
            <w:tcW w:type="dxa" w:w="1661"/>
          </w:tcPr>
          <w:p>
            <w:pPr>
              <w:pStyle w:val="null3"/>
            </w:pPr>
            <w:r>
              <w:rPr>
                <w:rFonts w:ascii="仿宋_GB2312" w:hAnsi="仿宋_GB2312" w:cs="仿宋_GB2312" w:eastAsia="仿宋_GB2312"/>
              </w:rPr>
              <w:t>开标一览表 投标人应提交的相关资格证明材料.docx 产品技术响应表.docx 投标函 中小企业声明函 残疾人福利性单位声明函 标的清单 商务应答表.docx 投标文件封面 项目实施方案.docx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投标人投标报价未出现选择性报价，未超出采购最高限价。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w:t>
            </w:r>
          </w:p>
        </w:tc>
        <w:tc>
          <w:tcPr>
            <w:tcW w:type="dxa" w:w="3322"/>
          </w:tcPr>
          <w:p>
            <w:pPr>
              <w:pStyle w:val="null3"/>
            </w:pPr>
            <w:r>
              <w:rPr>
                <w:rFonts w:ascii="仿宋_GB2312" w:hAnsi="仿宋_GB2312" w:cs="仿宋_GB2312" w:eastAsia="仿宋_GB2312"/>
              </w:rPr>
              <w:t>合同履行期满足或优于采购要求。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投标文件中对合同草案条款未附加采购人难以接受的条件。</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质量标准达到国家现行行业验收规范“合格”标准及招标文件第三章“招标项目技术、服务、商务及其他要求”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投标人提供的货物(服务)无实质性遗漏。</w:t>
            </w:r>
          </w:p>
        </w:tc>
        <w:tc>
          <w:tcPr>
            <w:tcW w:type="dxa" w:w="1661"/>
          </w:tcPr>
          <w:p>
            <w:pPr>
              <w:pStyle w:val="null3"/>
            </w:pPr>
            <w:r>
              <w:rPr>
                <w:rFonts w:ascii="仿宋_GB2312" w:hAnsi="仿宋_GB2312" w:cs="仿宋_GB2312" w:eastAsia="仿宋_GB2312"/>
              </w:rPr>
              <w:t>产品技术响应表.docx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项目理解与认识</w:t>
            </w:r>
          </w:p>
        </w:tc>
        <w:tc>
          <w:tcPr>
            <w:tcW w:type="dxa" w:w="2492"/>
          </w:tcPr>
          <w:p>
            <w:pPr>
              <w:pStyle w:val="null3"/>
            </w:pPr>
            <w:r>
              <w:rPr>
                <w:rFonts w:ascii="仿宋_GB2312" w:hAnsi="仿宋_GB2312" w:cs="仿宋_GB2312" w:eastAsia="仿宋_GB2312"/>
              </w:rPr>
              <w:t>一、评审内容：对本项目的理解与重难点分析，包括不限于：①对项目的理解和认识；②项目重难点分析；③合理化建议等。 二、评审标准：提供详细、合理、科学可行的方案，方案符合本项目采购需求有针对性，以上3项，以序号①、②、③为项数，内容无缺项、无漏项且无缺陷的得6分，其中每有一项内容存在缺项或漏项的扣2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根据所提供的证明材料，配置和功能、技术指标和性能完全符合、响应招标文件要求，没有负偏离的得12分；带▲符号的技术参数为主要参数，每有一项负偏离扣1分,扣完为止。 注：投标人应根据技术要求提供佐证材料（不局限于检测报告、产品彩页、官网截图、说明书等）以证明参数的技术响应性，投标人自负因佐证材料不全而造成技术参数响应负偏离的后果。</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针对本项目特点制定整体实施方案不限于：①项目实施组织；②实施进度计划；③质量保证措施；④进度保证措施；⑤项目保密管理；⑥文档资料管理；⑦风险管控；⑧设备包装运输安装；⑨软件测试与试运行等。 二、评审标准：提供详细、合理、科学可行的方案，方案符合本项目采购需求有针对性，以上9项，以序号①、②、③、④、⑤、⑥、⑦、⑧、⑨为项数，内容无缺项、无漏项且无缺陷的得18分，其中每有一项内容存在缺项或漏项的扣2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一、评审内容：提供针对本项目有完善的项目实施团队及管理方案，包括但不限于：①团队人员配置清单（设有项目负责人及技术团队）；②岗位职责安排；③人员管理制度；④工作经验及年限等。 二、评审标准：提供详细、合理、科学可行的方案，方案符合本项目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项目负责人须具有信息系统项目管理师（高级）证书，得2分。 （需提供相关证书复印件以及投标人近3个月内（任意一个月）为上述人员缴纳的社保证明材料，否则不得分）。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对接方案</w:t>
            </w:r>
          </w:p>
        </w:tc>
        <w:tc>
          <w:tcPr>
            <w:tcW w:type="dxa" w:w="2492"/>
          </w:tcPr>
          <w:p>
            <w:pPr>
              <w:pStyle w:val="null3"/>
            </w:pPr>
            <w:r>
              <w:rPr>
                <w:rFonts w:ascii="仿宋_GB2312" w:hAnsi="仿宋_GB2312" w:cs="仿宋_GB2312" w:eastAsia="仿宋_GB2312"/>
              </w:rPr>
              <w:t>一、评审内容：提供对接方案及承诺，确保设备与系统对接，根据合理性及实际操作性。 二、评审标准：提供详细、合理、科学可行的方案，方案符合本项目采购需求有针对性，得2分；内容存在缺陷扣0.5分；该项分值扣完为止，未提供不得分。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针对本项目特点提供完善的售后服务方案，不限于：①售后服务承诺（明确质保期的时间，质保范围）；②服务管理策略；③维护响应方式及时间；④技术支持；⑤售后服务组织；⑥应急服务措施等内容。 二、评审标准：提供详细、合理、科学可行的方案，方案符合本项目采购需求有针对性，以上6项，以序号①、②、③、④、⑤、⑥为项数，内容无缺项、无漏项且无缺陷的得12分，其中每有一项内容存在缺项或漏项的扣2分，每项内容中每有一处存在缺陷的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一、评审内容：供应商须针对本项目和采购人实际需求提供培训方案。方案涵盖但不限于培训对象和内容、培训方式、培训日程安排。培训服务方案内容全面、安排合理，能完全满足本项目需要。 二、评审标准：提供详细、合理、科学可行的方案，方案符合本项目采购需求有针对性，得2分；内容存在缺陷扣0.5分；该项分值扣完为止，未提供不得分。 三、赋分说明：“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1日起至今类似项目业绩，每提供一项得2分，最高得8分。（提供合同复印件或中标（成交）通知书复印件加盖公章。如提供中标（成交）通知书，以中标（成交）通知书发放时间为准；如提供合同，以合同签订日期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价格分采用低价优先法计算，即满足招标文件要求且投标报价最低的投标报价为评标基准价，其价格分为满分。其他投标人的价格分统一按照下列公式计算： 投标报价得分=（评标基准价/有效报价）×价格权值（30%）×100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详见附件：项目实施方案.docx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