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版本号：ZCSP-渭南市-2025-00901、HL-ZB2507720251230003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渭南市发热伴出血症候群检测设备购置项目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ZCSP-渭南市-2025-00901、HL-ZB25077</w:t>
      </w:r>
      <w:r>
        <w:br/>
      </w:r>
      <w:r>
        <w:br/>
      </w:r>
      <w:r>
        <w:br/>
      </w:r>
    </w:p>
    <w:p>
      <w:pPr>
        <w:pStyle w:val="null3"/>
        <w:jc w:val="center"/>
        <w:outlineLvl w:val="2"/>
      </w:pPr>
      <w:r>
        <w:rPr>
          <w:rFonts w:ascii="仿宋_GB2312" w:hAnsi="仿宋_GB2312" w:cs="仿宋_GB2312" w:eastAsia="仿宋_GB2312"/>
          <w:sz w:val="28"/>
          <w:b/>
        </w:rPr>
        <w:t>渭南市疾病预防控制中心</w:t>
      </w:r>
    </w:p>
    <w:p>
      <w:pPr>
        <w:pStyle w:val="null3"/>
        <w:jc w:val="center"/>
        <w:outlineLvl w:val="2"/>
      </w:pPr>
      <w:r>
        <w:rPr>
          <w:rFonts w:ascii="仿宋_GB2312" w:hAnsi="仿宋_GB2312" w:cs="仿宋_GB2312" w:eastAsia="仿宋_GB2312"/>
          <w:sz w:val="28"/>
          <w:b/>
        </w:rPr>
        <w:t>陕西宏朗工程项目管理有限公司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陕西宏朗工程项目管理有限公司</w:t>
      </w:r>
      <w:r>
        <w:rPr>
          <w:rFonts w:ascii="仿宋_GB2312" w:hAnsi="仿宋_GB2312" w:cs="仿宋_GB2312" w:eastAsia="仿宋_GB2312"/>
        </w:rPr>
        <w:t>（以下简称“代理机构”）受</w:t>
      </w:r>
      <w:r>
        <w:rPr>
          <w:rFonts w:ascii="仿宋_GB2312" w:hAnsi="仿宋_GB2312" w:cs="仿宋_GB2312" w:eastAsia="仿宋_GB2312"/>
        </w:rPr>
        <w:t>渭南市疾病预防控制中心</w:t>
      </w:r>
      <w:r>
        <w:rPr>
          <w:rFonts w:ascii="仿宋_GB2312" w:hAnsi="仿宋_GB2312" w:cs="仿宋_GB2312" w:eastAsia="仿宋_GB2312"/>
        </w:rPr>
        <w:t>委托，拟对</w:t>
      </w:r>
      <w:r>
        <w:rPr>
          <w:rFonts w:ascii="仿宋_GB2312" w:hAnsi="仿宋_GB2312" w:cs="仿宋_GB2312" w:eastAsia="仿宋_GB2312"/>
        </w:rPr>
        <w:t>渭南市发热伴出血症候群检测设备购置项目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ZCSP-渭南市-2025-00901、HL-ZB25077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渭南市发热伴出血症候群检测设备购置项目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渭南市发热伴出血症候群检测设备购置,具体详见招标文件。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所投产品为医疗器械的：供应商为代理商提供医疗器械经营许可证或备案证，并提供医疗器械注册证或备案证；供应商为生产厂家提供医疗器械生产许可证或备案证，并提供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渭南市站北路5号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0913-2182132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陕西宏朗工程项目管理有限公司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陕西省西安市雁塔区西部电子社区A座C区181号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029-89182390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渭南市疾病预防控制中心</w:t>
      </w:r>
      <w:r>
        <w:rPr>
          <w:rFonts w:ascii="仿宋_GB2312" w:hAnsi="仿宋_GB2312" w:cs="仿宋_GB2312" w:eastAsia="仿宋_GB2312"/>
        </w:rPr>
        <w:t>和</w:t>
      </w:r>
      <w:r>
        <w:rPr>
          <w:rFonts w:ascii="仿宋_GB2312" w:hAnsi="仿宋_GB2312" w:cs="仿宋_GB2312" w:eastAsia="仿宋_GB2312"/>
        </w:rPr>
        <w:t>陕西宏朗工程项目管理有限公司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陕西宏朗工程项目管理有限公司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陕西宏朗工程项目管理有限公司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联系人：宋工</w:t>
      </w:r>
    </w:p>
    <w:p>
      <w:pPr>
        <w:pStyle w:val="null3"/>
      </w:pPr>
      <w:r>
        <w:rPr>
          <w:rFonts w:ascii="仿宋_GB2312" w:hAnsi="仿宋_GB2312" w:cs="仿宋_GB2312" w:eastAsia="仿宋_GB2312"/>
        </w:rPr>
        <w:t>联系电话：029-89182390</w:t>
      </w:r>
    </w:p>
    <w:p>
      <w:pPr>
        <w:pStyle w:val="null3"/>
      </w:pPr>
      <w:r>
        <w:rPr>
          <w:rFonts w:ascii="仿宋_GB2312" w:hAnsi="仿宋_GB2312" w:cs="仿宋_GB2312" w:eastAsia="仿宋_GB2312"/>
        </w:rPr>
        <w:t>地址：陕西省西安市雁塔区西部电子社区A座C区181号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渭南市发热伴出血症候群检测设备购置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发热伴出血症候群检测设备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标的名称：发热伴出血症候群检测设备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1"/>
                <w:b/>
              </w:rPr>
              <w:t>一、全自动微生物质谱检测系统</w:t>
            </w:r>
          </w:p>
          <w:p>
            <w:pPr>
              <w:pStyle w:val="null3"/>
              <w:ind w:firstLine="480"/>
              <w:jc w:val="both"/>
            </w:pPr>
            <w:r>
              <w:rPr>
                <w:rFonts w:ascii="仿宋_GB2312" w:hAnsi="仿宋_GB2312" w:cs="仿宋_GB2312" w:eastAsia="仿宋_GB2312"/>
                <w:sz w:val="21"/>
              </w:rPr>
              <w:t>1.工作环境</w:t>
            </w:r>
          </w:p>
          <w:p>
            <w:pPr>
              <w:pStyle w:val="null3"/>
              <w:ind w:firstLine="480"/>
              <w:jc w:val="both"/>
            </w:pPr>
            <w:r>
              <w:rPr>
                <w:rFonts w:ascii="仿宋_GB2312" w:hAnsi="仿宋_GB2312" w:cs="仿宋_GB2312" w:eastAsia="仿宋_GB2312"/>
                <w:sz w:val="21"/>
              </w:rPr>
              <w:t>1.1工作温度：10-30℃；</w:t>
            </w:r>
          </w:p>
          <w:p>
            <w:pPr>
              <w:pStyle w:val="null3"/>
              <w:ind w:firstLine="480"/>
              <w:jc w:val="both"/>
            </w:pPr>
            <w:r>
              <w:rPr>
                <w:rFonts w:ascii="仿宋_GB2312" w:hAnsi="仿宋_GB2312" w:cs="仿宋_GB2312" w:eastAsia="仿宋_GB2312"/>
                <w:sz w:val="21"/>
              </w:rPr>
              <w:t>2.硬件指标</w:t>
            </w:r>
          </w:p>
          <w:p>
            <w:pPr>
              <w:pStyle w:val="null3"/>
              <w:ind w:firstLine="480"/>
              <w:jc w:val="both"/>
            </w:pPr>
            <w:r>
              <w:rPr>
                <w:rFonts w:ascii="仿宋_GB2312" w:hAnsi="仿宋_GB2312" w:cs="仿宋_GB2312" w:eastAsia="仿宋_GB2312"/>
                <w:sz w:val="21"/>
              </w:rPr>
              <w:t>2.1激光器：激光频率≥60Hz，在1～60 Hz范围内任意连续可调，激光发射次数大于4亿次激发，可长期使用。（提供证明资料）</w:t>
            </w:r>
          </w:p>
          <w:p>
            <w:pPr>
              <w:pStyle w:val="null3"/>
              <w:ind w:firstLine="480"/>
              <w:jc w:val="both"/>
            </w:pPr>
            <w:r>
              <w:rPr>
                <w:rFonts w:ascii="仿宋_GB2312" w:hAnsi="仿宋_GB2312" w:cs="仿宋_GB2312" w:eastAsia="仿宋_GB2312"/>
                <w:sz w:val="21"/>
              </w:rPr>
              <w:t>▲2.2飞行管：飞行管采用钛金属材质，提高离子通道准确性和稳定性，技术含量高。（提供证明资料）</w:t>
            </w:r>
          </w:p>
          <w:p>
            <w:pPr>
              <w:pStyle w:val="null3"/>
              <w:ind w:firstLine="480"/>
              <w:jc w:val="both"/>
            </w:pPr>
            <w:r>
              <w:rPr>
                <w:rFonts w:ascii="仿宋_GB2312" w:hAnsi="仿宋_GB2312" w:cs="仿宋_GB2312" w:eastAsia="仿宋_GB2312"/>
                <w:sz w:val="21"/>
              </w:rPr>
              <w:t>2.3可满足应急车载使用：</w:t>
            </w:r>
            <w:r>
              <w:rPr>
                <w:rFonts w:ascii="仿宋_GB2312" w:hAnsi="仿宋_GB2312" w:cs="仿宋_GB2312" w:eastAsia="仿宋_GB2312"/>
                <w:sz w:val="21"/>
              </w:rPr>
              <w:t>设备需为桌面台式机型</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2.4离子源：免清洗设计，方便日常维护；</w:t>
            </w:r>
          </w:p>
          <w:p>
            <w:pPr>
              <w:pStyle w:val="null3"/>
              <w:ind w:firstLine="480"/>
              <w:jc w:val="both"/>
            </w:pPr>
            <w:r>
              <w:rPr>
                <w:rFonts w:ascii="仿宋_GB2312" w:hAnsi="仿宋_GB2312" w:cs="仿宋_GB2312" w:eastAsia="仿宋_GB2312"/>
                <w:sz w:val="21"/>
              </w:rPr>
              <w:t>▲2.5检测器：检测器为打拿级电子倍增器，最大暗电流≤1pA，以实现极低的谱图噪声,最大增益可达10^6，无需额外加装前置放大器。（提供证明资料）</w:t>
            </w:r>
          </w:p>
          <w:p>
            <w:pPr>
              <w:pStyle w:val="null3"/>
              <w:ind w:firstLine="480"/>
              <w:jc w:val="both"/>
            </w:pPr>
            <w:r>
              <w:rPr>
                <w:rFonts w:ascii="仿宋_GB2312" w:hAnsi="仿宋_GB2312" w:cs="仿宋_GB2312" w:eastAsia="仿宋_GB2312"/>
                <w:sz w:val="21"/>
              </w:rPr>
              <w:t>▲2.6真空泵：前级泵为大功率外置油泵，抽速≥4.0m</w:t>
            </w:r>
            <w:r>
              <w:rPr>
                <w:rFonts w:ascii="仿宋_GB2312" w:hAnsi="仿宋_GB2312" w:cs="仿宋_GB2312" w:eastAsia="仿宋_GB2312"/>
                <w:sz w:val="21"/>
                <w:vertAlign w:val="superscript"/>
              </w:rPr>
              <w:t>3</w:t>
            </w:r>
            <w:r>
              <w:rPr>
                <w:rFonts w:ascii="仿宋_GB2312" w:hAnsi="仿宋_GB2312" w:cs="仿宋_GB2312" w:eastAsia="仿宋_GB2312"/>
                <w:sz w:val="21"/>
              </w:rPr>
              <w:t xml:space="preserve">/h，前级真空度≥10-2mbar，散热快，维护方便，抽真空效率高，延长分子泵使用寿命。（提供证明资料） </w:t>
            </w:r>
          </w:p>
          <w:p>
            <w:pPr>
              <w:pStyle w:val="null3"/>
              <w:ind w:firstLine="480"/>
              <w:jc w:val="both"/>
            </w:pPr>
            <w:r>
              <w:rPr>
                <w:rFonts w:ascii="仿宋_GB2312" w:hAnsi="仿宋_GB2312" w:cs="仿宋_GB2312" w:eastAsia="仿宋_GB2312"/>
                <w:sz w:val="21"/>
              </w:rPr>
              <w:t>2.7具备无接触式进出靶触发装置，可通过手势识别，无需在软件上操作及实体按键操作，避免交叉感染，保护操作者生物安全。（提供证明资料）</w:t>
            </w:r>
          </w:p>
          <w:p>
            <w:pPr>
              <w:pStyle w:val="null3"/>
              <w:ind w:firstLine="480"/>
              <w:jc w:val="both"/>
            </w:pPr>
            <w:r>
              <w:rPr>
                <w:rFonts w:ascii="仿宋_GB2312" w:hAnsi="仿宋_GB2312" w:cs="仿宋_GB2312" w:eastAsia="仿宋_GB2312"/>
                <w:sz w:val="21"/>
              </w:rPr>
              <w:t>2.8采集卡：采用高精度采集卡，精度≥12bit，提高检测准确率。（提供证明资料）</w:t>
            </w:r>
          </w:p>
          <w:p>
            <w:pPr>
              <w:pStyle w:val="null3"/>
              <w:ind w:firstLine="480"/>
              <w:jc w:val="both"/>
            </w:pPr>
            <w:r>
              <w:rPr>
                <w:rFonts w:ascii="仿宋_GB2312" w:hAnsi="仿宋_GB2312" w:cs="仿宋_GB2312" w:eastAsia="仿宋_GB2312"/>
                <w:sz w:val="21"/>
              </w:rPr>
              <w:t>3.软件指标</w:t>
            </w:r>
          </w:p>
          <w:p>
            <w:pPr>
              <w:pStyle w:val="null3"/>
              <w:ind w:firstLine="480"/>
              <w:jc w:val="both"/>
            </w:pPr>
            <w:r>
              <w:rPr>
                <w:rFonts w:ascii="仿宋_GB2312" w:hAnsi="仿宋_GB2312" w:cs="仿宋_GB2312" w:eastAsia="仿宋_GB2312"/>
                <w:sz w:val="21"/>
              </w:rPr>
              <w:t>3.1软件具备仪器控制、数据采集、数据处理及微生物鉴定分析的全套功能，软件不超过2个，软件具有中文界面，方便实验人员使用鉴定和分析功能，可进行聚类分析、多重性分析、自建库等；</w:t>
            </w:r>
          </w:p>
          <w:p>
            <w:pPr>
              <w:pStyle w:val="null3"/>
              <w:ind w:firstLine="480"/>
              <w:jc w:val="both"/>
            </w:pPr>
            <w:r>
              <w:rPr>
                <w:rFonts w:ascii="仿宋_GB2312" w:hAnsi="仿宋_GB2312" w:cs="仿宋_GB2312" w:eastAsia="仿宋_GB2312"/>
                <w:sz w:val="21"/>
              </w:rPr>
              <w:t>4.检测性能</w:t>
            </w:r>
          </w:p>
          <w:p>
            <w:pPr>
              <w:pStyle w:val="null3"/>
              <w:ind w:firstLine="480"/>
              <w:jc w:val="both"/>
            </w:pPr>
            <w:r>
              <w:rPr>
                <w:rFonts w:ascii="仿宋_GB2312" w:hAnsi="仿宋_GB2312" w:cs="仿宋_GB2312" w:eastAsia="仿宋_GB2312"/>
                <w:sz w:val="21"/>
              </w:rPr>
              <w:t>4.1检测范围：1-500kd；</w:t>
            </w:r>
          </w:p>
          <w:p>
            <w:pPr>
              <w:pStyle w:val="null3"/>
              <w:ind w:firstLine="480"/>
              <w:jc w:val="both"/>
            </w:pPr>
            <w:r>
              <w:rPr>
                <w:rFonts w:ascii="仿宋_GB2312" w:hAnsi="仿宋_GB2312" w:cs="仿宋_GB2312" w:eastAsia="仿宋_GB2312"/>
                <w:sz w:val="21"/>
              </w:rPr>
              <w:t>4.2分辨率：&gt;3500FWHM（血管紧张素，Angiotensin）；</w:t>
            </w:r>
          </w:p>
          <w:p>
            <w:pPr>
              <w:pStyle w:val="null3"/>
              <w:ind w:firstLine="480"/>
              <w:jc w:val="both"/>
            </w:pPr>
            <w:r>
              <w:rPr>
                <w:rFonts w:ascii="仿宋_GB2312" w:hAnsi="仿宋_GB2312" w:cs="仿宋_GB2312" w:eastAsia="仿宋_GB2312"/>
                <w:sz w:val="21"/>
              </w:rPr>
              <w:t>4.3质量准确度：&lt;60ppm（内部校正误差）；&lt;100ppm（外部校正误差）；</w:t>
            </w:r>
          </w:p>
          <w:p>
            <w:pPr>
              <w:pStyle w:val="null3"/>
              <w:ind w:firstLine="480"/>
              <w:jc w:val="both"/>
            </w:pPr>
            <w:r>
              <w:rPr>
                <w:rFonts w:ascii="仿宋_GB2312" w:hAnsi="仿宋_GB2312" w:cs="仿宋_GB2312" w:eastAsia="仿宋_GB2312"/>
                <w:sz w:val="21"/>
              </w:rPr>
              <w:t>4.4质量重复性：变异系数&lt;0.015%；</w:t>
            </w:r>
          </w:p>
          <w:p>
            <w:pPr>
              <w:pStyle w:val="null3"/>
              <w:ind w:firstLine="480"/>
              <w:jc w:val="both"/>
            </w:pPr>
            <w:r>
              <w:rPr>
                <w:rFonts w:ascii="仿宋_GB2312" w:hAnsi="仿宋_GB2312" w:cs="仿宋_GB2312" w:eastAsia="仿宋_GB2312"/>
                <w:sz w:val="21"/>
              </w:rPr>
              <w:t>5.数据库及功能</w:t>
            </w:r>
          </w:p>
          <w:p>
            <w:pPr>
              <w:pStyle w:val="null3"/>
              <w:ind w:firstLine="480"/>
              <w:jc w:val="both"/>
            </w:pPr>
            <w:r>
              <w:rPr>
                <w:rFonts w:ascii="仿宋_GB2312" w:hAnsi="仿宋_GB2312" w:cs="仿宋_GB2312" w:eastAsia="仿宋_GB2312"/>
                <w:sz w:val="21"/>
              </w:rPr>
              <w:t>5.1标配质谱同品牌数据库，软件取得国家版权局计算机软件著作权登记证书，数据库中包含可鉴定微生物的数量大于5000种、1000个属，数据库可在线及时终生免费升级，并确保以上内容可在现场验证。数据库支持用户自行扩增数据库或是自建数据库，自建库与主库采用相同的建库原理和算法，以便确保自建库的可靠性。</w:t>
            </w:r>
          </w:p>
          <w:p>
            <w:pPr>
              <w:pStyle w:val="null3"/>
              <w:ind w:firstLine="480"/>
              <w:jc w:val="both"/>
            </w:pPr>
            <w:r>
              <w:rPr>
                <w:rFonts w:ascii="仿宋_GB2312" w:hAnsi="仿宋_GB2312" w:cs="仿宋_GB2312" w:eastAsia="仿宋_GB2312"/>
                <w:sz w:val="21"/>
              </w:rPr>
              <w:t>5.2增强罕见菌和新发病原体微生物的鉴定能力，鉴定数据库需包含不限于霍乱弧菌、肺炎链球菌、牛布鲁氏菌、羊布鲁氏菌、犬布鲁氏菌、军团菌属、白喉棒状杆菌、产气荚膜梭菌等高致病性菌株数据。确保验收时可现场验证通过；</w:t>
            </w:r>
          </w:p>
          <w:p>
            <w:pPr>
              <w:pStyle w:val="null3"/>
              <w:ind w:firstLine="480"/>
              <w:jc w:val="both"/>
            </w:pPr>
            <w:r>
              <w:rPr>
                <w:rFonts w:ascii="仿宋_GB2312" w:hAnsi="仿宋_GB2312" w:cs="仿宋_GB2312" w:eastAsia="仿宋_GB2312"/>
                <w:sz w:val="21"/>
              </w:rPr>
              <w:t>5.3丝状真菌数据库超过600种，且包含白色红曲、冠突曲霉、黄曲霉、短孢弯孢、草酸青霉、橙色红曲、蜂蜜曲霉、黑根霉、酱油曲霉、燕麦镰刀菌、纸葡萄穗霉等真菌。确保验收时可现场验证通过。</w:t>
            </w:r>
          </w:p>
          <w:p>
            <w:pPr>
              <w:pStyle w:val="null3"/>
              <w:ind w:firstLine="480"/>
              <w:jc w:val="both"/>
            </w:pPr>
            <w:r>
              <w:rPr>
                <w:rFonts w:ascii="仿宋_GB2312" w:hAnsi="仿宋_GB2312" w:cs="仿宋_GB2312" w:eastAsia="仿宋_GB2312"/>
                <w:sz w:val="21"/>
              </w:rPr>
              <w:t>5.4提供微生物数据中心，用于查询菌种的形态学、药敏、基因序列等信息。提供网址及联网备案信息加盖生产厂家公章。</w:t>
            </w:r>
          </w:p>
          <w:p>
            <w:pPr>
              <w:pStyle w:val="null3"/>
              <w:ind w:firstLine="480"/>
              <w:jc w:val="both"/>
            </w:pPr>
            <w:r>
              <w:rPr>
                <w:rFonts w:ascii="仿宋_GB2312" w:hAnsi="仿宋_GB2312" w:cs="仿宋_GB2312" w:eastAsia="仿宋_GB2312"/>
                <w:sz w:val="21"/>
              </w:rPr>
              <w:t>6.配置</w:t>
            </w:r>
          </w:p>
          <w:p>
            <w:pPr>
              <w:pStyle w:val="null3"/>
              <w:ind w:firstLine="480"/>
              <w:jc w:val="both"/>
            </w:pPr>
            <w:r>
              <w:rPr>
                <w:rFonts w:ascii="仿宋_GB2312" w:hAnsi="仿宋_GB2312" w:cs="仿宋_GB2312" w:eastAsia="仿宋_GB2312"/>
                <w:sz w:val="21"/>
              </w:rPr>
              <w:t>6.1台式MALDI-TOF: 1台，包含激光器、离子源、检测器、飞行管和真空系统。</w:t>
            </w:r>
          </w:p>
          <w:p>
            <w:pPr>
              <w:pStyle w:val="null3"/>
              <w:ind w:firstLine="480"/>
              <w:jc w:val="both"/>
            </w:pPr>
            <w:r>
              <w:rPr>
                <w:rFonts w:ascii="仿宋_GB2312" w:hAnsi="仿宋_GB2312" w:cs="仿宋_GB2312" w:eastAsia="仿宋_GB2312"/>
                <w:sz w:val="21"/>
              </w:rPr>
              <w:t>6.2数据库及软件：配套微生物数据库，微生物采集与分析软件。</w:t>
            </w:r>
          </w:p>
          <w:p>
            <w:pPr>
              <w:pStyle w:val="null3"/>
              <w:ind w:firstLine="480"/>
              <w:jc w:val="both"/>
            </w:pPr>
            <w:r>
              <w:rPr>
                <w:rFonts w:ascii="仿宋_GB2312" w:hAnsi="仿宋_GB2312" w:cs="仿宋_GB2312" w:eastAsia="仿宋_GB2312"/>
                <w:sz w:val="21"/>
              </w:rPr>
              <w:t>6.3数据处理系统：Windows7以上操作系统，2.6 GHz CPU处理器，16GB内存，1TB硬盘，24寸液晶显示屏，条码扫描器1套</w:t>
            </w:r>
          </w:p>
          <w:p>
            <w:pPr>
              <w:pStyle w:val="null3"/>
              <w:ind w:firstLine="480"/>
              <w:jc w:val="both"/>
            </w:pPr>
            <w:r>
              <w:rPr>
                <w:rFonts w:ascii="仿宋_GB2312" w:hAnsi="仿宋_GB2312" w:cs="仿宋_GB2312" w:eastAsia="仿宋_GB2312"/>
                <w:sz w:val="21"/>
              </w:rPr>
              <w:t>6.4标本板： 分体式靶板5块，带有条形码，可进行追溯，2块靶托。</w:t>
            </w:r>
          </w:p>
          <w:p>
            <w:pPr>
              <w:pStyle w:val="null3"/>
              <w:ind w:firstLine="480"/>
              <w:jc w:val="both"/>
            </w:pPr>
            <w:r>
              <w:rPr>
                <w:rFonts w:ascii="仿宋_GB2312" w:hAnsi="仿宋_GB2312" w:cs="仿宋_GB2312" w:eastAsia="仿宋_GB2312"/>
                <w:sz w:val="21"/>
              </w:rPr>
              <w:t>7.消耗品</w:t>
            </w:r>
          </w:p>
          <w:p>
            <w:pPr>
              <w:pStyle w:val="null3"/>
              <w:ind w:firstLine="480"/>
              <w:jc w:val="both"/>
            </w:pPr>
            <w:r>
              <w:rPr>
                <w:rFonts w:ascii="仿宋_GB2312" w:hAnsi="仿宋_GB2312" w:cs="仿宋_GB2312" w:eastAsia="仿宋_GB2312"/>
                <w:sz w:val="21"/>
              </w:rPr>
              <w:t>7.1可提供质谱同品牌通过医疗器械注册认证的质谱样本预处理试剂、鉴定校准品或质控品（提供注册证证明）</w:t>
            </w:r>
          </w:p>
          <w:p>
            <w:pPr>
              <w:pStyle w:val="null3"/>
              <w:ind w:firstLine="480"/>
              <w:jc w:val="both"/>
            </w:pPr>
            <w:r>
              <w:rPr>
                <w:rFonts w:ascii="仿宋_GB2312" w:hAnsi="仿宋_GB2312" w:cs="仿宋_GB2312" w:eastAsia="仿宋_GB2312"/>
                <w:sz w:val="21"/>
              </w:rPr>
              <w:t>8.技术服务</w:t>
            </w:r>
          </w:p>
          <w:p>
            <w:pPr>
              <w:pStyle w:val="null3"/>
              <w:ind w:firstLine="480"/>
              <w:jc w:val="both"/>
            </w:pPr>
            <w:r>
              <w:rPr>
                <w:rFonts w:ascii="仿宋_GB2312" w:hAnsi="仿宋_GB2312" w:cs="仿宋_GB2312" w:eastAsia="仿宋_GB2312"/>
                <w:sz w:val="21"/>
              </w:rPr>
              <w:t>8.1设备安装、调试和验收：厂家需提前向用户提供详细的安装需求确认书；仪器到达用户所在地，在接到用户通知后的一周内进行安装、调试，直到通过验收。</w:t>
            </w:r>
          </w:p>
          <w:p>
            <w:pPr>
              <w:pStyle w:val="null3"/>
              <w:ind w:firstLine="480"/>
              <w:jc w:val="both"/>
            </w:pPr>
            <w:r>
              <w:rPr>
                <w:rFonts w:ascii="仿宋_GB2312" w:hAnsi="仿宋_GB2312" w:cs="仿宋_GB2312" w:eastAsia="仿宋_GB2312"/>
                <w:sz w:val="21"/>
              </w:rPr>
              <w:t>8.2保修期：提供1年的免费维保期，保修期自仪器验收签字之日起计算，提供终身维修服务。</w:t>
            </w:r>
          </w:p>
          <w:p>
            <w:pPr>
              <w:pStyle w:val="null3"/>
              <w:ind w:firstLine="480"/>
              <w:jc w:val="both"/>
            </w:pPr>
            <w:r>
              <w:rPr>
                <w:rFonts w:ascii="仿宋_GB2312" w:hAnsi="仿宋_GB2312" w:cs="仿宋_GB2312" w:eastAsia="仿宋_GB2312"/>
                <w:sz w:val="21"/>
              </w:rPr>
              <w:t>8.3技术培训： “一对一”技术指导，免费提供售前、售中、售后培训服务，培训内容包仪器的技术原理、检测步骤、软件操作、数据处理、维护保养等，提供4位厂家免费培训名额。</w:t>
            </w:r>
          </w:p>
          <w:p>
            <w:pPr>
              <w:pStyle w:val="null3"/>
              <w:ind w:firstLine="480"/>
              <w:jc w:val="both"/>
            </w:pPr>
            <w:r>
              <w:rPr>
                <w:rFonts w:ascii="仿宋_GB2312" w:hAnsi="仿宋_GB2312" w:cs="仿宋_GB2312" w:eastAsia="仿宋_GB2312"/>
                <w:sz w:val="21"/>
              </w:rPr>
              <w:t>8.4 维修响应：24小时热线服务，全年无节假日；专业工程师在接到通知后2小时内做出反应，24小时到达维修现场，以确保可提供及时的服务。</w:t>
            </w:r>
          </w:p>
          <w:p>
            <w:pPr>
              <w:pStyle w:val="null3"/>
              <w:ind w:firstLine="480"/>
              <w:jc w:val="both"/>
            </w:pPr>
            <w:r>
              <w:rPr>
                <w:rFonts w:ascii="仿宋_GB2312" w:hAnsi="仿宋_GB2312" w:cs="仿宋_GB2312" w:eastAsia="仿宋_GB2312"/>
                <w:sz w:val="21"/>
                <w:b/>
              </w:rPr>
              <w:t>二、病原数据处理终端</w:t>
            </w:r>
          </w:p>
          <w:p>
            <w:pPr>
              <w:pStyle w:val="null3"/>
              <w:ind w:firstLine="480"/>
              <w:jc w:val="both"/>
            </w:pPr>
            <w:r>
              <w:rPr>
                <w:rFonts w:ascii="仿宋_GB2312" w:hAnsi="仿宋_GB2312" w:cs="仿宋_GB2312" w:eastAsia="仿宋_GB2312"/>
                <w:sz w:val="21"/>
              </w:rPr>
              <w:t>1.软件参数</w:t>
            </w:r>
          </w:p>
          <w:p>
            <w:pPr>
              <w:pStyle w:val="null3"/>
              <w:ind w:firstLine="568"/>
              <w:jc w:val="both"/>
            </w:pPr>
            <w:r>
              <w:rPr>
                <w:rFonts w:ascii="仿宋_GB2312" w:hAnsi="仿宋_GB2312" w:cs="仿宋_GB2312" w:eastAsia="仿宋_GB2312"/>
                <w:sz w:val="21"/>
              </w:rPr>
              <w:t>★1.1支持PFGE DNA指纹谱图分析模块：</w:t>
            </w:r>
          </w:p>
          <w:p>
            <w:pPr>
              <w:pStyle w:val="null3"/>
              <w:ind w:firstLine="480"/>
              <w:jc w:val="both"/>
            </w:pPr>
            <w:r>
              <w:rPr>
                <w:rFonts w:ascii="仿宋_GB2312" w:hAnsi="仿宋_GB2312" w:cs="仿宋_GB2312" w:eastAsia="仿宋_GB2312"/>
                <w:sz w:val="21"/>
              </w:rPr>
              <w:t>可用于PFGE指纹图谱条带识别分析，针对PFGE（脉冲场凝胶电泳）条带图谱进行在线分析识别，包括泳道识别、泳道确认、校正、条带标定（识别样本条带）、分型结果生成等条带图谱识别功能。该设备可生成指纹图谱结果文件符合国家致病菌识别网质控标准数据格式。</w:t>
            </w:r>
          </w:p>
          <w:p>
            <w:pPr>
              <w:pStyle w:val="null3"/>
              <w:ind w:firstLine="480"/>
              <w:jc w:val="both"/>
            </w:pPr>
            <w:r>
              <w:rPr>
                <w:rFonts w:ascii="仿宋_GB2312" w:hAnsi="仿宋_GB2312" w:cs="仿宋_GB2312" w:eastAsia="仿宋_GB2312"/>
                <w:sz w:val="21"/>
              </w:rPr>
              <w:t>1.2 支持基因组分析功能模块：</w:t>
            </w:r>
          </w:p>
          <w:p>
            <w:pPr>
              <w:pStyle w:val="null3"/>
              <w:ind w:firstLine="480"/>
              <w:jc w:val="both"/>
            </w:pPr>
            <w:r>
              <w:rPr>
                <w:rFonts w:ascii="仿宋_GB2312" w:hAnsi="仿宋_GB2312" w:cs="仿宋_GB2312" w:eastAsia="仿宋_GB2312"/>
                <w:sz w:val="21"/>
              </w:rPr>
              <w:t>（1）支持基因组原始数据质控分析</w:t>
            </w:r>
          </w:p>
          <w:p>
            <w:pPr>
              <w:pStyle w:val="null3"/>
              <w:ind w:firstLine="480"/>
              <w:jc w:val="both"/>
            </w:pPr>
            <w:r>
              <w:rPr>
                <w:rFonts w:ascii="仿宋_GB2312" w:hAnsi="仿宋_GB2312" w:cs="仿宋_GB2312" w:eastAsia="仿宋_GB2312"/>
                <w:sz w:val="21"/>
              </w:rPr>
              <w:t>（2）支持基因组数据组装分析</w:t>
            </w:r>
          </w:p>
          <w:p>
            <w:pPr>
              <w:pStyle w:val="null3"/>
              <w:ind w:firstLine="480"/>
              <w:jc w:val="both"/>
            </w:pPr>
            <w:r>
              <w:rPr>
                <w:rFonts w:ascii="仿宋_GB2312" w:hAnsi="仿宋_GB2312" w:cs="仿宋_GB2312" w:eastAsia="仿宋_GB2312"/>
                <w:sz w:val="21"/>
              </w:rPr>
              <w:t>（3）支持基因组数据预测分析</w:t>
            </w:r>
          </w:p>
          <w:p>
            <w:pPr>
              <w:pStyle w:val="null3"/>
              <w:ind w:firstLine="480"/>
              <w:jc w:val="both"/>
            </w:pPr>
            <w:r>
              <w:rPr>
                <w:rFonts w:ascii="仿宋_GB2312" w:hAnsi="仿宋_GB2312" w:cs="仿宋_GB2312" w:eastAsia="仿宋_GB2312"/>
                <w:sz w:val="21"/>
              </w:rPr>
              <w:t>（4）支持16S rDNA 菌株鉴定分析</w:t>
            </w:r>
          </w:p>
          <w:p>
            <w:pPr>
              <w:pStyle w:val="null3"/>
              <w:ind w:firstLine="480"/>
              <w:jc w:val="both"/>
            </w:pPr>
            <w:r>
              <w:rPr>
                <w:rFonts w:ascii="仿宋_GB2312" w:hAnsi="仿宋_GB2312" w:cs="仿宋_GB2312" w:eastAsia="仿宋_GB2312"/>
                <w:sz w:val="21"/>
              </w:rPr>
              <w:t>1.3支持智能样本管理系统（样本菌种库）：</w:t>
            </w:r>
          </w:p>
          <w:p>
            <w:pPr>
              <w:pStyle w:val="null3"/>
              <w:ind w:firstLine="480"/>
              <w:jc w:val="both"/>
            </w:pPr>
            <w:r>
              <w:rPr>
                <w:rFonts w:ascii="仿宋_GB2312" w:hAnsi="仿宋_GB2312" w:cs="仿宋_GB2312" w:eastAsia="仿宋_GB2312"/>
                <w:sz w:val="21"/>
              </w:rPr>
              <w:t>支持样本数据管理、支持菌毒株数据管理、支持本地化数据可视化统计分析、支持数据批量导入与导出、支持系统设置和用户管理。</w:t>
            </w:r>
          </w:p>
          <w:p>
            <w:pPr>
              <w:pStyle w:val="null3"/>
              <w:ind w:firstLine="568"/>
              <w:jc w:val="both"/>
            </w:pPr>
            <w:r>
              <w:rPr>
                <w:rFonts w:ascii="仿宋_GB2312" w:hAnsi="仿宋_GB2312" w:cs="仿宋_GB2312" w:eastAsia="仿宋_GB2312"/>
                <w:sz w:val="21"/>
              </w:rPr>
              <w:t>★1.4 支持基因组分析预处理模块可导出基因组拼接文件.cpin加密文件；支持智能样本管理系统能批量导出样本、菌毒株、分析结果等信息的.cpin格式加密数据；所有生成的加密数据要求符合国家致病菌识别网质控标准数据格式。</w:t>
            </w:r>
          </w:p>
          <w:p>
            <w:pPr>
              <w:pStyle w:val="null3"/>
              <w:ind w:firstLine="480"/>
              <w:jc w:val="both"/>
            </w:pPr>
            <w:r>
              <w:rPr>
                <w:rFonts w:ascii="仿宋_GB2312" w:hAnsi="仿宋_GB2312" w:cs="仿宋_GB2312" w:eastAsia="仿宋_GB2312"/>
                <w:sz w:val="21"/>
              </w:rPr>
              <w:t>2.硬件配置参数</w:t>
            </w:r>
          </w:p>
          <w:p>
            <w:pPr>
              <w:pStyle w:val="null3"/>
              <w:ind w:firstLine="480"/>
              <w:jc w:val="both"/>
            </w:pPr>
            <w:r>
              <w:rPr>
                <w:rFonts w:ascii="仿宋_GB2312" w:hAnsi="仿宋_GB2312" w:cs="仿宋_GB2312" w:eastAsia="仿宋_GB2312"/>
                <w:sz w:val="21"/>
              </w:rPr>
              <w:t>2.1处理器CPU：Intel® i7-9700及以上</w:t>
            </w:r>
          </w:p>
          <w:p>
            <w:pPr>
              <w:pStyle w:val="null3"/>
              <w:ind w:firstLine="480"/>
              <w:jc w:val="both"/>
            </w:pPr>
            <w:r>
              <w:rPr>
                <w:rFonts w:ascii="仿宋_GB2312" w:hAnsi="仿宋_GB2312" w:cs="仿宋_GB2312" w:eastAsia="仿宋_GB2312"/>
                <w:sz w:val="21"/>
              </w:rPr>
              <w:t>2.2内存2×DDR4 SO-DIMM  64GB及以上</w:t>
            </w:r>
          </w:p>
          <w:p>
            <w:pPr>
              <w:pStyle w:val="null3"/>
              <w:ind w:firstLine="480"/>
              <w:jc w:val="both"/>
            </w:pPr>
            <w:r>
              <w:rPr>
                <w:rFonts w:ascii="仿宋_GB2312" w:hAnsi="仿宋_GB2312" w:cs="仿宋_GB2312" w:eastAsia="仿宋_GB2312"/>
                <w:sz w:val="21"/>
              </w:rPr>
              <w:t>2.3存储硬盘：内置SSD 1T及以上</w:t>
            </w:r>
          </w:p>
          <w:p>
            <w:pPr>
              <w:pStyle w:val="null3"/>
              <w:ind w:firstLine="480"/>
              <w:jc w:val="both"/>
            </w:pPr>
            <w:r>
              <w:rPr>
                <w:rFonts w:ascii="仿宋_GB2312" w:hAnsi="仿宋_GB2312" w:cs="仿宋_GB2312" w:eastAsia="仿宋_GB2312"/>
                <w:sz w:val="21"/>
              </w:rPr>
              <w:t>3.设备软硬件配置清单</w:t>
            </w:r>
          </w:p>
          <w:p>
            <w:pPr>
              <w:pStyle w:val="null3"/>
              <w:ind w:firstLine="480"/>
              <w:jc w:val="both"/>
            </w:pPr>
            <w:r>
              <w:rPr>
                <w:rFonts w:ascii="仿宋_GB2312" w:hAnsi="仿宋_GB2312" w:cs="仿宋_GB2312" w:eastAsia="仿宋_GB2312"/>
                <w:sz w:val="21"/>
              </w:rPr>
              <w:t>3.1满足招标参数病原数据处理终端仪器      1台</w:t>
            </w:r>
          </w:p>
          <w:p>
            <w:pPr>
              <w:pStyle w:val="null3"/>
              <w:ind w:firstLine="480"/>
              <w:jc w:val="both"/>
            </w:pPr>
            <w:r>
              <w:rPr>
                <w:rFonts w:ascii="仿宋_GB2312" w:hAnsi="仿宋_GB2312" w:cs="仿宋_GB2312" w:eastAsia="仿宋_GB2312"/>
                <w:sz w:val="21"/>
              </w:rPr>
              <w:t>3.2满足招标参数PFGE DNA指纹谱图分析系统 1套</w:t>
            </w:r>
          </w:p>
          <w:p>
            <w:pPr>
              <w:pStyle w:val="null3"/>
              <w:ind w:firstLine="480"/>
              <w:jc w:val="both"/>
            </w:pPr>
            <w:r>
              <w:rPr>
                <w:rFonts w:ascii="仿宋_GB2312" w:hAnsi="仿宋_GB2312" w:cs="仿宋_GB2312" w:eastAsia="仿宋_GB2312"/>
                <w:sz w:val="21"/>
              </w:rPr>
              <w:t>3.3满足招标参数 基因组数据分析分析系统   1套</w:t>
            </w:r>
          </w:p>
          <w:p>
            <w:pPr>
              <w:pStyle w:val="null3"/>
              <w:ind w:firstLine="480"/>
              <w:jc w:val="both"/>
            </w:pPr>
            <w:r>
              <w:rPr>
                <w:rFonts w:ascii="仿宋_GB2312" w:hAnsi="仿宋_GB2312" w:cs="仿宋_GB2312" w:eastAsia="仿宋_GB2312"/>
                <w:sz w:val="21"/>
              </w:rPr>
              <w:t>3.4满足招标参数 智能样本管理系统         1套</w:t>
            </w:r>
          </w:p>
          <w:p>
            <w:pPr>
              <w:pStyle w:val="null3"/>
              <w:ind w:firstLine="480"/>
              <w:jc w:val="both"/>
            </w:pPr>
            <w:r>
              <w:rPr>
                <w:rFonts w:ascii="仿宋_GB2312" w:hAnsi="仿宋_GB2312" w:cs="仿宋_GB2312" w:eastAsia="仿宋_GB2312"/>
                <w:sz w:val="21"/>
              </w:rPr>
              <w:t>4.质量保证要求</w:t>
            </w:r>
          </w:p>
          <w:p>
            <w:pPr>
              <w:pStyle w:val="null3"/>
            </w:pPr>
            <w:r>
              <w:rPr>
                <w:rFonts w:ascii="仿宋_GB2312" w:hAnsi="仿宋_GB2312" w:cs="仿宋_GB2312" w:eastAsia="仿宋_GB2312"/>
                <w:sz w:val="21"/>
                <w:color w:val="000000"/>
              </w:rPr>
              <w:t xml:space="preserve">  保修期：软件及数据库免费维护及升级3年。自设备验收合格之日起计算。保修期内应提供免费保修。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整个项目实施完成后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验收合格后提供硬件一年质保，软件三年质保。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货物的，应当承担由此对供应商造成的损失。3、供应商不能按期交货的，每逾期1日，应向采购人赔付合同总价的0.1%作为违约金。4、供应商所交货物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所投产品为医疗器械的：供应商为代理商提供医疗器械经营许可证或备案证，并提供医疗器械注册证或备案证；供应商为生产厂家提供医疗器械生产许可证或备案证，并提供医疗器械注册证或备案证。</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商务要求响应表 政府采购供应商拒绝政府采购领域商业贿赂承诺书 投标函 残疾人福利性单位声明函 供应商资格声明文件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所投产品技术参数指标，本项基础分19分。 标▲参数有一项不满足扣1分，非▲参数有一项不满足扣0.5分，扣完为止。 注：投标文件中需提供的作为评审依据的证明文件（包括但不限于第三方检测报告、加盖公章的产品彩页、加盖公章的官网截图等）。</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所投产品来源渠道</w:t>
            </w:r>
          </w:p>
        </w:tc>
        <w:tc>
          <w:tcPr>
            <w:tcW w:type="dxa" w:w="2492"/>
          </w:tcPr>
          <w:p>
            <w:pPr>
              <w:pStyle w:val="null3"/>
            </w:pPr>
            <w:r>
              <w:rPr>
                <w:rFonts w:ascii="仿宋_GB2312" w:hAnsi="仿宋_GB2312" w:cs="仿宋_GB2312" w:eastAsia="仿宋_GB2312"/>
              </w:rPr>
              <w:t>1、评审内容 提供针对本项目的所投产品来源渠道。 2、评审标准 ①完整性：资料须全面，对评审内容中的各项要求有详细描述及说明； ②多样性：包括但不限于销售协议、代理协议、原厂授权等； 3、赋分标准 每完全满足一项评审标准得2分，基本满足得1分，不满足或未提供不得分；满分4分。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每完全满足一项评审标准得3分，基本满足得1.5分，不满足或未提供不得分；满分9分。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提供针对本项目的应急措施，项目实施过程中针对突发事件和重大业务时间节点的风险防范措施及应急突发事件的处理预案。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每完全满足一项评审标准得2分，基本满足得1分，不满足或未提供不得分；满分6分。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①培训方案；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①培训方案：每完全满足一项评审标准得1分，满分3分； ②售后承诺：每完全满足一项评审标准得1分，满分3分；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