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版本号：ZCSP-渭南市-2025-0091320251218001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渭南市政府政务值班视频会议系统升级改造项目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ZCSP-渭南市-2025-00913</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渭南市政府政务值班视频会议系统升级改造项目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渭南市政府政务值班视频会议系统升级改造项目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以适配政务工作高质量、高效化开展需求为核心，通过会议室改造打造符合政务场景定位的专业会议空间。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渭南市临渭区车雷大街69号市民综合服务中心西配楼1楼西侧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阮旭静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采购包1：1,428,400.00元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w:t>
            </w:r>
          </w:p>
          <w:p>
            <w:pPr>
              <w:pStyle w:val="null3"/>
            </w:pPr>
            <w:r>
              <w:rPr>
                <w:rFonts w:ascii="仿宋_GB2312" w:hAnsi="仿宋_GB2312" w:cs="仿宋_GB2312" w:eastAsia="仿宋_GB2312"/>
              </w:rPr>
              <w:t>开户银行：中信银行股份有限公司西安咸宁路支行（投标人缴纳保证金时，请备注“ZCSP-渭南市-2025-00913投标保证金”</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代理服务费收费标准：参照国家发展和改革委员会办公厅颁发的 《关于招标代理服务费收费有关问题的通知》（发改办价格〔2003〕857号）及《调整后的招标代理服务收费标准》(发改价格〔2011〕 534 号)的规定。 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联系人：阮旭静</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以适配政务工作高质量、高效化开展需求为核心，通过会议室改造打造符合政务场景定位的专业会议空间。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1,428,400.00</w:t>
      </w:r>
    </w:p>
    <w:p>
      <w:pPr>
        <w:pStyle w:val="null3"/>
      </w:pPr>
      <w:r>
        <w:rPr>
          <w:rFonts w:ascii="仿宋_GB2312" w:hAnsi="仿宋_GB2312" w:cs="仿宋_GB2312" w:eastAsia="仿宋_GB2312"/>
        </w:rPr>
        <w:t>采购包最高限价（元）: 1,428,400.00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渭南市政府政务值班视频会议系统升级改造项目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1,428,400.00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标的名称：渭南市政府政务值班视频会议系统升级改造项目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会议室基础环境改造</w:t>
            </w:r>
          </w:p>
          <w:tbl>
            <w:tblPr>
              <w:tblBorders>
                <w:top w:val="none" w:color="000000" w:sz="4"/>
                <w:left w:val="none" w:color="000000" w:sz="4"/>
                <w:bottom w:val="none" w:color="000000" w:sz="4"/>
                <w:right w:val="none" w:color="000000" w:sz="4"/>
                <w:insideH w:val="none"/>
                <w:insideV w:val="none"/>
              </w:tblBorders>
            </w:tblPr>
            <w:tblGrid>
              <w:gridCol w:w="346"/>
              <w:gridCol w:w="496"/>
              <w:gridCol w:w="1653"/>
              <w:gridCol w:w="346"/>
              <w:gridCol w:w="346"/>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1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b/>
                      <w:color w:val="000000"/>
                    </w:rPr>
                    <w:t>技术参数</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1</w:t>
                  </w:r>
                </w:p>
              </w:tc>
              <w:tc>
                <w:tcPr>
                  <w:tcW w:type="dxa" w:w="4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会议桌</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1、尺寸：1000CM*170CM；</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2、厚度：7CM；</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3、优质高密度板，密度≥ 760kg/m³ , 甲醛含量≤1.0mg/L，静曲张度≥51.2Mpa，吸水膨胀率≤8.1%；</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4、实木贴皮：厚度≥0.6mm。 基材平整度误差≤0.2mm，含水率控制在 8%-12%，使用PUR 热熔胶或水性聚氨酯胶，在120-150℃热压环境下保持30秒，胶层厚度控制在0.1-0.15mm；</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5、表层油漆：采用环保聚酯漆，经过多道工序，3遍底漆、5遍面漆等。油漆的性能达到耐火、耐污、耐酸、耐磨等要求。环保标准达到 E1 级或更高的欧洲环保标准；</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6、按照升降器的规格参数，在桌面对应位置开设适配孔洞；</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7、桌体周边留有检修口，方便后期检修升降式无纸化设备及散热。</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椅子</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1、密度约 0.6-0.7g/cm³ , 硬度适中（顺纹抗压强度约45MPa），保证椅架结构稳定，不易变形。含水率需控制在 8%-12%（符 合 GB/T 4817 标准），避免 因环境湿度变化出现开裂、 翘曲。</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2、表面通常做涂漆处理，漆膜 附着力需达到1级（划格测试无脱落），耐污性可抵御 日常水渍、污渍擦拭。</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操作台</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1.2米长，耐磨、防火、防腐蚀，台面均匀承重≥300kg，内部隔板单点承重≥50kg</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转椅</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定制，网布饰面，高回弹海绵，符合人体工学</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灯具</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600*1200</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84W</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vMerge/>
                  <w:tcBorders>
                    <w:top w:val="none" w:color="000000" w:sz="4"/>
                    <w:left w:val="single" w:color="000000" w:sz="4"/>
                    <w:bottom w:val="single" w:color="000000" w:sz="4"/>
                    <w:right w:val="single" w:color="000000" w:sz="4"/>
                  </w:tcBorders>
                </w:tcPr>
                <w:p/>
              </w:tc>
              <w:tc>
                <w:tcPr>
                  <w:tcW w:type="dxa" w:w="496"/>
                  <w:vMerge/>
                  <w:tcBorders>
                    <w:top w:val="none" w:color="000000" w:sz="4"/>
                    <w:left w:val="none" w:color="000000" w:sz="4"/>
                    <w:bottom w:val="single" w:color="000000" w:sz="4"/>
                    <w:right w:val="single" w:color="000000" w:sz="4"/>
                  </w:tcBorders>
                </w:tcP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色温：</w:t>
                  </w:r>
                  <w:r>
                    <w:rPr>
                      <w:rFonts w:ascii="仿宋_GB2312" w:hAnsi="仿宋_GB2312" w:cs="仿宋_GB2312" w:eastAsia="仿宋_GB2312"/>
                      <w:sz w:val="21"/>
                      <w:color w:val="000000"/>
                    </w:rPr>
                    <w:t>4000K</w:t>
                  </w:r>
                </w:p>
              </w:tc>
              <w:tc>
                <w:tcPr>
                  <w:tcW w:type="dxa" w:w="346"/>
                  <w:vMerge/>
                  <w:tcBorders>
                    <w:top w:val="none" w:color="000000" w:sz="4"/>
                    <w:left w:val="none" w:color="000000" w:sz="4"/>
                    <w:bottom w:val="single" w:color="000000" w:sz="4"/>
                    <w:right w:val="single" w:color="000000" w:sz="4"/>
                  </w:tcBorders>
                </w:tcPr>
                <w:p/>
              </w:tc>
              <w:tc>
                <w:tcPr>
                  <w:tcW w:type="dxa" w:w="346"/>
                  <w:vMerge/>
                  <w:tcBorders>
                    <w:top w:val="none" w:color="000000" w:sz="4"/>
                    <w:left w:val="none" w:color="000000" w:sz="4"/>
                    <w:bottom w:val="single" w:color="000000" w:sz="4"/>
                    <w:right w:val="single" w:color="000000" w:sz="4"/>
                  </w:tcBorders>
                </w:tc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地面升级改造</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匹配原始地面材质</w:t>
                  </w:r>
                  <w:r>
                    <w:rPr>
                      <w:rFonts w:ascii="仿宋_GB2312" w:hAnsi="仿宋_GB2312" w:cs="仿宋_GB2312" w:eastAsia="仿宋_GB2312"/>
                      <w:sz w:val="21"/>
                      <w:color w:val="000000"/>
                    </w:rPr>
                    <w:t>/颜色，修补面积约 30 ㎡，含基层处理与铺设</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平方米</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墙体升级改造</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高</w:t>
                  </w:r>
                  <w:r>
                    <w:rPr>
                      <w:rFonts w:ascii="仿宋_GB2312" w:hAnsi="仿宋_GB2312" w:cs="仿宋_GB2312" w:eastAsia="仿宋_GB2312"/>
                      <w:sz w:val="21"/>
                      <w:color w:val="000000"/>
                    </w:rPr>
                    <w:t>2.65m，面积约12㎡ ，含不锈钢收边与安装、墙面字</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新建墙体</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钢结构、防火板、铝塑板、胶水等</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隐形门</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定制，隐形门</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电路改造</w:t>
                  </w:r>
                </w:p>
              </w:tc>
              <w:tc>
                <w:tcPr>
                  <w:tcW w:type="dxa" w:w="1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强电路改造</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大屏显示系统</w:t>
            </w:r>
          </w:p>
          <w:tbl>
            <w:tblPr>
              <w:tblInd w:type="dxa" w:w="30"/>
              <w:tblBorders>
                <w:top w:val="none" w:color="000000" w:sz="4"/>
                <w:left w:val="none" w:color="000000" w:sz="4"/>
                <w:bottom w:val="none" w:color="000000" w:sz="4"/>
                <w:right w:val="none" w:color="000000" w:sz="4"/>
                <w:insideH w:val="none"/>
                <w:insideV w:val="none"/>
              </w:tblBorders>
            </w:tblPr>
            <w:tblGrid>
              <w:gridCol w:w="180"/>
              <w:gridCol w:w="271"/>
              <w:gridCol w:w="2092"/>
              <w:gridCol w:w="254"/>
              <w:gridCol w:w="383"/>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项目名称</w:t>
                  </w:r>
                </w:p>
              </w:tc>
              <w:tc>
                <w:tcPr>
                  <w:tcW w:type="dxa" w:w="2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b/>
                      <w:color w:val="000000"/>
                    </w:rPr>
                    <w:t>技术参数</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b/>
                      <w:color w:val="000000"/>
                    </w:rPr>
                    <w:t>单位</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LED大屏</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1.基础规格：像素间距≤1.25mm；屏体尺寸≥4.2m（宽）×1.6875m（高），整屏分辨率≥3360点×1350点，箱体尺寸定制，需包含备用模组不少于3块，便于故障更换。</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w:t>
                  </w:r>
                  <w:r>
                    <w:rPr>
                      <w:rFonts w:ascii="仿宋_GB2312" w:hAnsi="仿宋_GB2312" w:cs="仿宋_GB2312" w:eastAsia="仿宋_GB2312"/>
                      <w:sz w:val="21"/>
                      <w:color w:val="000000"/>
                    </w:rPr>
                    <w:t>9</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平方米</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显示性能：亮度≥600nits，支持0-100%无级调节；水平/垂直可视角度均≥170°；刷新率≥3840Hz，换帧频率支持50Hz/60Hz/120Hz；最大对比度≥35000:1，校正后亮度均匀性≥99%；色域覆盖率≥125%NTSC，色度均匀性≤±0.001Cx,Cy；发光点中心距偏差≤1%，屏体平整度≤0.05mm，单元拼接间隙≤0.05mm。</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3.功耗与节能：峰值功耗≤325W/㎡，平均功耗≤160W；具备智能（黑屏）节电功能，开启后节能率≥50%；</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视觉与防护：屏体表面采用防眩光黑色电喷工艺（亚黑处理），反光率≤1%；“人眼视觉舒适度（VICO）”指数≤1.0，去除100%紫外线，消除80%摩尔纹；防护等级≥IP55，支持7×24小时连续运行，使用寿命≥100000小时。</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功能特性：支持</w:t>
                  </w:r>
                  <w:r>
                    <w:rPr>
                      <w:rFonts w:ascii="仿宋_GB2312" w:hAnsi="仿宋_GB2312" w:cs="仿宋_GB2312" w:eastAsia="仿宋_GB2312"/>
                      <w:sz w:val="21"/>
                      <w:color w:val="000000"/>
                    </w:rPr>
                    <w:t>EPWM灰阶控制技术，0-100%亮度下可实现8-16bit任意灰度设置；具备低亮高灰改善、暗线修缝功能，支持一键调节亮度；箱体带测试按键（支持前后操作），可实现红/绿/蓝/白单色显示及横扫、竖扫等扫描模式；模组与主板采用浮动接插件对插设计（接插件镀金厚度≥45μ），数据传输稳定。</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6.屏体辅材包含网线、三芯电源线、网络跳线、加长排线、5V黑红线（一拖一）、HDMI线、水晶头等。</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7.采用适配国产化</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控制服务器</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1.处理器≥2.5GHZ，≥6核/12线程；</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台</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2.运行内存：≥16G；</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3.机身存储：≥1TB；</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4.独立显卡≥2G。</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5.采用适配国产化</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显示器</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1.国产化显示器</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台</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2.屏幕比例：16:9</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3.分辨率：1920*1080</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4.接口：HDMI1、D-Sub*1</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5.响应时间：8ms GtG</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6.面板类型：VA技术</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视频处理器</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1.输入接口包括1路HDMI2.0+LOOP,2路HDMI1.3，1路USB3.0，支持选配1路3G-SDI（IN+LOOP），最大支持4096*2160@60HZ信号输入；</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套</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2.视频输出支持8个千兆网口输出，1路10G-OPT光口，最大带载高达520万像素，最宽支持10240,最高8192。</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vMerge/>
                  <w:tcBorders>
                    <w:top w:val="none" w:color="000000" w:sz="4"/>
                    <w:left w:val="none" w:color="000000" w:sz="4"/>
                    <w:bottom w:val="single" w:color="000000" w:sz="4"/>
                    <w:right w:val="single" w:color="000000" w:sz="4"/>
                  </w:tcBorders>
                </w:tcP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3.最大可支持6个2K图层或1个4K图层+2个2K图层，全部图层大小和位置可单独调节。4K接口输入2K图层，按2K图层计算图层资源；</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4.集成发送卡和视频处理器功能，连线更少，设备集成度更高，稳定性兼容性大大提升。</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5.支持U盘即插即播功能，最大支持4K级（3840*2160@60fps）图片和视频的流畅播放，播放列表计切换效果支持自定义编排，最多支持27种图片切换特效；</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6.支持微信小程序快捷控制，平板快捷控制；为保证系统稳定性，需与大屏为同一品牌，适配国产化</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配电柜</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10KW配电柜，输入：三相五线制供电；输出分三路，含分路延时上电，含遥控器控制开关</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台</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钢结构</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1.用于安装支撑屏体的结构及安装；</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7.6</w:t>
                  </w:r>
                  <w:r>
                    <w:rPr>
                      <w:rFonts w:ascii="仿宋_GB2312" w:hAnsi="仿宋_GB2312" w:cs="仿宋_GB2312" w:eastAsia="仿宋_GB2312"/>
                      <w:sz w:val="20"/>
                      <w:color w:val="000000"/>
                    </w:rPr>
                    <w:t>9</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平方米</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2.包边要求：采用铝塑板，不锈钢进行包边，颜色默认为黑色及灰色，或客户自选；</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投屏器</w:t>
                  </w: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1.分辨率：支持4K超高清（3840×2160），刷新率≥30Hz。</w:t>
                  </w:r>
                </w:p>
              </w:tc>
              <w:tc>
                <w:tcPr>
                  <w:tcW w:type="dxa" w:w="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35"/>
                    <w:jc w:val="both"/>
                  </w:pPr>
                  <w:r>
                    <w:rPr>
                      <w:rFonts w:ascii="仿宋_GB2312" w:hAnsi="仿宋_GB2312" w:cs="仿宋_GB2312" w:eastAsia="仿宋_GB2312"/>
                      <w:sz w:val="21"/>
                      <w:color w:val="000000"/>
                    </w:rPr>
                    <w:t>台</w:t>
                  </w: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2.兼容性：向下兼容1080P/720P等主流分辨率。</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3.无线传输：</w:t>
                  </w:r>
                  <w:r>
                    <w:br/>
                  </w:r>
                  <w:r>
                    <w:rPr>
                      <w:rFonts w:ascii="仿宋_GB2312" w:hAnsi="仿宋_GB2312" w:cs="仿宋_GB2312" w:eastAsia="仿宋_GB2312"/>
                      <w:sz w:val="21"/>
                      <w:color w:val="000000"/>
                    </w:rPr>
                    <w:t>双频</w:t>
                  </w:r>
                  <w:r>
                    <w:rPr>
                      <w:rFonts w:ascii="仿宋_GB2312" w:hAnsi="仿宋_GB2312" w:cs="仿宋_GB2312" w:eastAsia="仿宋_GB2312"/>
                      <w:sz w:val="21"/>
                      <w:color w:val="000000"/>
                    </w:rPr>
                    <w:t>WiFi：支持2.4GHz及5.8GHz双频段，自动优选信道。</w:t>
                  </w:r>
                  <w:r>
                    <w:br/>
                  </w:r>
                  <w:r>
                    <w:rPr>
                      <w:rFonts w:ascii="仿宋_GB2312" w:hAnsi="仿宋_GB2312" w:cs="仿宋_GB2312" w:eastAsia="仿宋_GB2312"/>
                      <w:sz w:val="21"/>
                      <w:color w:val="000000"/>
                    </w:rPr>
                    <w:t>传输距离：点对点模式下，无障碍传输距离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4.接口配置</w:t>
                  </w:r>
                  <w:r>
                    <w:br/>
                  </w:r>
                  <w:r>
                    <w:rPr>
                      <w:rFonts w:ascii="仿宋_GB2312" w:hAnsi="仿宋_GB2312" w:cs="仿宋_GB2312" w:eastAsia="仿宋_GB2312"/>
                      <w:sz w:val="21"/>
                      <w:color w:val="000000"/>
                    </w:rPr>
                    <w:t>输入接口：至少配备</w:t>
                  </w:r>
                  <w:r>
                    <w:rPr>
                      <w:rFonts w:ascii="仿宋_GB2312" w:hAnsi="仿宋_GB2312" w:cs="仿宋_GB2312" w:eastAsia="仿宋_GB2312"/>
                      <w:sz w:val="21"/>
                      <w:color w:val="000000"/>
                    </w:rPr>
                    <w:t>HDMI（支持HDCP 2.2协议）及VGA接口。</w:t>
                  </w:r>
                  <w:r>
                    <w:br/>
                  </w:r>
                  <w:r>
                    <w:rPr>
                      <w:rFonts w:ascii="仿宋_GB2312" w:hAnsi="仿宋_GB2312" w:cs="仿宋_GB2312" w:eastAsia="仿宋_GB2312"/>
                      <w:sz w:val="21"/>
                      <w:color w:val="000000"/>
                    </w:rPr>
                    <w:t>输出接口：</w:t>
                  </w:r>
                  <w:r>
                    <w:rPr>
                      <w:rFonts w:ascii="仿宋_GB2312" w:hAnsi="仿宋_GB2312" w:cs="仿宋_GB2312" w:eastAsia="仿宋_GB2312"/>
                      <w:sz w:val="21"/>
                      <w:color w:val="000000"/>
                    </w:rPr>
                    <w:t>HDMI（与输入接口匹配）。</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硬件设计：</w:t>
                  </w:r>
                  <w:r>
                    <w:br/>
                  </w:r>
                  <w:r>
                    <w:rPr>
                      <w:rFonts w:ascii="仿宋_GB2312" w:hAnsi="仿宋_GB2312" w:cs="仿宋_GB2312" w:eastAsia="仿宋_GB2312"/>
                      <w:sz w:val="21"/>
                      <w:color w:val="000000"/>
                    </w:rPr>
                    <w:t>外壳材质：主体采用铝合金框架</w:t>
                  </w:r>
                  <w:r>
                    <w:rPr>
                      <w:rFonts w:ascii="仿宋_GB2312" w:hAnsi="仿宋_GB2312" w:cs="仿宋_GB2312" w:eastAsia="仿宋_GB2312"/>
                      <w:sz w:val="21"/>
                      <w:color w:val="000000"/>
                    </w:rPr>
                    <w:t>+ABS工程塑料，需提供防火、抗干扰认证。</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6.散热设计：具备高效散热结构，确保长时间稳定运行。</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r>
              <w:tc>
                <w:tcPr>
                  <w:tcW w:type="dxa" w:w="180"/>
                  <w:vMerge/>
                  <w:tcBorders>
                    <w:top w:val="none" w:color="000000" w:sz="4"/>
                    <w:left w:val="singl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2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7.功能要求</w:t>
                  </w:r>
                  <w:r>
                    <w:br/>
                  </w:r>
                  <w:r>
                    <w:rPr>
                      <w:rFonts w:ascii="仿宋_GB2312" w:hAnsi="仿宋_GB2312" w:cs="仿宋_GB2312" w:eastAsia="仿宋_GB2312"/>
                      <w:sz w:val="21"/>
                      <w:color w:val="000000"/>
                    </w:rPr>
                    <w:t>支持跨平台投屏。</w:t>
                  </w:r>
                  <w:r>
                    <w:br/>
                  </w:r>
                  <w:r>
                    <w:rPr>
                      <w:rFonts w:ascii="仿宋_GB2312" w:hAnsi="仿宋_GB2312" w:cs="仿宋_GB2312" w:eastAsia="仿宋_GB2312"/>
                      <w:sz w:val="21"/>
                      <w:color w:val="000000"/>
                    </w:rPr>
                    <w:t>支持零延迟传输，满足会议、教育等场景实时交互需求。</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内置加密协议，确保数据传输安全。</w:t>
                  </w:r>
                </w:p>
              </w:tc>
              <w:tc>
                <w:tcPr>
                  <w:tcW w:type="dxa" w:w="254"/>
                  <w:vMerge/>
                  <w:tcBorders>
                    <w:top w:val="none" w:color="000000" w:sz="4"/>
                    <w:left w:val="none" w:color="000000" w:sz="4"/>
                    <w:bottom w:val="single" w:color="000000" w:sz="4"/>
                    <w:right w:val="single" w:color="000000" w:sz="4"/>
                  </w:tcBorders>
                </w:tcPr>
                <w:p/>
              </w:tc>
              <w:tc>
                <w:tcPr>
                  <w:tcW w:type="dxa" w:w="383"/>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会议及扩声系统</w:t>
            </w:r>
          </w:p>
          <w:tbl>
            <w:tblPr>
              <w:tblBorders>
                <w:top w:val="none" w:color="000000" w:sz="4"/>
                <w:left w:val="none" w:color="000000" w:sz="4"/>
                <w:bottom w:val="none" w:color="000000" w:sz="4"/>
                <w:right w:val="none" w:color="000000" w:sz="4"/>
                <w:insideH w:val="none"/>
                <w:insideV w:val="none"/>
              </w:tblBorders>
            </w:tblPr>
            <w:tblGrid>
              <w:gridCol w:w="361"/>
              <w:gridCol w:w="361"/>
              <w:gridCol w:w="1744"/>
              <w:gridCol w:w="361"/>
              <w:gridCol w:w="361"/>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项目名称</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b/>
                      <w:color w:val="000000"/>
                    </w:rPr>
                    <w:t>技术参数</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全数字会议系统主机</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1.音频输入：LINEIN1:775mVrms平衡；2路输入凤凰端子:775mVrms平衡；LINEIN2:775mVrms非平衡；</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2.音频输出：LINEOUT1:1Vrms平衡；16路多功能输出凤凰端子:1Vrms平衡；LINEOUT2:1Vrms非平衡；</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3.编ID功能：可对有线单元、无线单元、译员机、角色分离主机进行编ID；</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4.动态范围：&gt;80dB；</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5.消防报警联动触发接口：支持对接烟雾报警器实时检测，触发后火灾报警信息可同步至话筒界面和主机界面，第一时间提醒会场人员紧急撤离，确保与会人员安全；</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6.USB录音功能：可录制和播放会议记录；</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7.同声传译功能：系统最大可同时传输63+1的有线同声传译；</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8.多种语言：支持中、英、俄、法文多种语言任意切换显示；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9.多种话筒管理模式：FIFO（先进先出）、NORMAL（普通模式）、VOICE（声控模式）、APPLY（申请模式）等；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10.主机双机热备功能：可设置主机或从机功能，当主机出现故障时，可自动切换至从机运行，实现双备份功能；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11.自定义会议话筒身份功能：可根据现场需要定义为主席单元或代表单元或“VIP”单元12.主电源：100-120VAC/200-240VACbyswitch；</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12.频率响应：80~16KHz；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13.信噪比：&gt;78dB(A)；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14.总谐波失真：&lt;0.05%；</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15.输出负载：&gt;1KΩ。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会议话筒处理器</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1.指示灯：AFC功能指示灯、音频信号灯、工作状态指示灯、电源指示灯；</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2.安装方式：19英寸标准机柜；</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3.频率响应：80Hz~16kHz；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4.信噪比：&gt;75dB(A)；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5.动态范围：&gt;75dB(A)；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6.总谐波失真：&lt;0.05%；</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7.音频输出：LINEOUT1:1V卡侬平衡输出；LINEOUT2:1V莲花座非平衡输出；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8.连接方式：RJ45网口；</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9.主电源：100-240AC/50-60Hz；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10.输出负载：&gt;1KΩ；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11.后面板具有≥1个船形开关、≥4个RJ45、≥1个RS485、≥2个RS232、≥1个TYPE-C接口、≥1个拨码开关、≥1路卡侬输出接口和≥2路RCA输出接口；前面板具有≥1个AFC电容触摸开关；≥4个状态指示灯（包括≥1个AFC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功能状态指示灯、≥1个音频信号灯、≥1个处理器工作状态指示灯、≥1个工作电源指示灯）。（提供第三方检测机构出具的具有CMA或CNAS标识的检测报告扫描件或复印件）；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12.处理器与数字会议主机通过网络传输链路传输会议单元音频信号，只需要通过网线即可以接收数字会议单元音频信号，并提供自动增益、自动混音、AFC反馈抑制（≥24个可编程陷波点）、EQ调节（≥31段图示均衡器调节）音频处理功能。（提供第三方检测机构出具的具有CMA或CNAS标识的检测报告扫描件或复印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专业音箱</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1.阻抗：≥8Ω；</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2.额定功率：≤200W；</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3.峰值功率：≤800W；</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4.灵敏度：≥96dB/W/M；</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5.最大声压级（额定/峰值）：119dB/126dB；</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6.覆盖角度：(H)80°(V)60°；</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7.频响：60Hz~20KH。</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支架</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定制，音箱支架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专业功放</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1.频率响应(1W功率下)：20Hz-20KHz/±1dB@8Ω；</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只</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2.THD+N(@1/8功率下)：≤0.01%；</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3.分离度(@1KHz)：≥80dB；</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4.阻尼系数(@1KHz)：≥200@8ohms；</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5.信噪比（A计权）：≥93dB；</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6.输入灵敏度：2.2dBu(1V)；</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7.输入阻抗：10KΩ；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8.输出功率：立体声@8Ω：350W×2；立体声@4Ω：600W×2；</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9.输入电压：~220V/50Hz。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无线话筒</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1.系统配套：一台主机+双手持无线话筒；</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2.工作距离：约80m；</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3.频率响应：20Hz~20kHz(±3dB）；</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4.信噪比：≥105dB（XLR）；</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5.THD+N：＜0.1%；</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6.频率范围：470-510MHz、540MHz-590MHz、640MHz-690MHz、807MHz-830MHz；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7.调制方式：pi/4-DQPSK。</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接收机：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1.天线接口：BNC/50Ω；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2.接收灵敏度：＜-95dBm；</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3.最大输出：平衡输出500mV，非平衡输出1000mV；</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4.电源：DC12V/1A；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5.工作电流：≤320mA。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发射机指标：</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1.音头：动圈式麦克风（双手持话筒）；</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2.输出功率：≥10dBm；</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3.工作电流：≤200mA；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4.电池：2×1.5V(AA)；</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5.电池使用时长：&gt;10H。</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调音台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1、设备类型与核心组件：采用专业型紧凑式设计，配备13个60mm行程高精密碳膜推子；搭载超低噪声离散式麦克风前置放大器，保障音质清晰纯净；</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2、输入接口配置：具备8路Mic输入接口（兼容6路线路输入接口），CH1-CH6通道话筒输入接口支持+48V幻象电源独立控制；配置2组立体声输入及4路RCA输入，可适配多种立体设备接入需求；</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输出接口配置：提供2组立体声输出、4路编组输出、4路辅助输出、1个耳机监听输出、1组双路效果输出及1组控制室输出；支持1组主混音断点插入与6个断点插入功能，可外接压缩器、均衡器、限幅器等外部处理器；</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4、音效与调节功能：内置24位DSP效果器，预设效果数量≥100种；支持7段图示均衡推子调节，可精准优化音频信号特性；</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5、集成播放与录音功能：内置蓝牙MP3播放器，配备1路USB接口，支持外接U盘及蓝牙连接播放音乐；集成USB声卡，可连接电脑实现音乐播放与声音录音功能；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6、辅助功能：设有1个USB供电接口，可连接USB照明灯等辅助设备，提升操作便利性。</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音频处理器</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1.处理器48kHz采样频率，64-bitDSP处理器；32-bitA/D及D/A转换；</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2.幻象供电DC48V；</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3.频率响应20Hz～20KHz；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4.信噪比≥110dB@1kHz24dBu（A计权）；</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5.总谐波失真+噪声≤0.002%OUTPUT=24dBu/1kHz；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6.通道分离度≥100dB@1kHz24dBu（A计权）；</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7.供电范围AC110V-220V50/60Hz；</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8.电源功耗≤20W；</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9.输入阻抗(平衡式)平衡：20KΩ；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10.最大输出阻抗(平衡式)平衡：100Ω；</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11.输入范围≤+24dBu；</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12.输入通道4路平衡式话筒/线路，采用裸线接口端子，平衡接法；</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13.输出通道4路平衡式线路输出，采用裸线接口端子，平衡接法。</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无缝高清矩阵切换器</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1.支持多路输入到多路输出快速切换；支持多路HDMI输入，多路HDMI输出；输入、输出接口支持HDMI1.4标准，分辨率可达3840×2160@30Hz；色彩空间支持RGB4:4:4，YCbCr4:4:4,YCbCr4:2:2；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2.输入兼容DVI或HDMI信号；输入内置7种EDID，1920×1080@60Hz双声道（默认），支持自定义EDID；输出信号格式支持HDMI或DVI；</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3.支持PCM音频格式；</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4.支持HDMI接口连续热拔插；支持断电记忆功能；以及支持待机、低功耗候命；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5.支持双向串口控制、面板按键控制，可选配网口控制。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其他辅材</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包含连接线、专用插座、音频</w:t>
                  </w:r>
                  <w:r>
                    <w:rPr>
                      <w:rFonts w:ascii="仿宋_GB2312" w:hAnsi="仿宋_GB2312" w:cs="仿宋_GB2312" w:eastAsia="仿宋_GB2312"/>
                      <w:sz w:val="21"/>
                      <w:color w:val="000000"/>
                    </w:rPr>
                    <w:t>YJX连接线、音箱线、音频线、网线、电源线、水晶头、HDMI高清线、PVC管、跳线、五金配件等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color w:val="000000"/>
                    </w:rPr>
                    <w:t>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00"/>
              </w:rPr>
              <w:t>无纸化会议系统</w:t>
            </w:r>
          </w:p>
          <w:tbl>
            <w:tblPr>
              <w:tblBorders>
                <w:top w:val="none" w:color="000000" w:sz="4"/>
                <w:left w:val="none" w:color="000000" w:sz="4"/>
                <w:bottom w:val="none" w:color="000000" w:sz="4"/>
                <w:right w:val="none" w:color="000000" w:sz="4"/>
                <w:insideH w:val="none"/>
                <w:insideV w:val="none"/>
              </w:tblBorders>
            </w:tblPr>
            <w:tblGrid>
              <w:gridCol w:w="361"/>
              <w:gridCol w:w="361"/>
              <w:gridCol w:w="1744"/>
              <w:gridCol w:w="361"/>
              <w:gridCol w:w="361"/>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项目名称</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b/>
                      <w:color w:val="000000"/>
                    </w:rPr>
                    <w:t>技术参数</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无纸化主机</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无纸化主机主要实现会议的配置管理功能，系统管理员可通过后台配置管理服务器参数、会议室信息、数字会议模式、人员组织架构。后台还支持对会议列表、会议流程的管理，支持会议议程、会议议题、参会人员信息、投票表决预设，会议资料的上传共享、参会人员的权限管理配置、会议信息的实时保存功能。</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2.产品使用国家密码管理局制定的SM2、SM4国产加密算法，对数据文件进行加密处理，并在传输过程中保持加密状态。（提供第三方检测机构出具的具有CMA或CNAS标识的检测报告扫描件或复印件）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搭配云会务系统支持统一管理无纸化会议室设备，并对设备进行定时/周期联检功能，检测设备使用状态、异常情况，并生成巡检工单；会务系统支持对接钉钉、企业微信，支持同步组织架构，并将组织架构同步至无纸化系统，可以通过钉钉、企业微信预约会议，同步至无纸化参会人员；会务系统支持与无纸化系统人员信息同步，在会务系统创建的无纸化会议，可通过短信、手机app、H5微信公众号方式通知与会人员。（提供第三方检测机构出具的具有CMA或CNAS标识的检测报告扫描件或复印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采用国产处理器配置≥8核，≥8线程；采用内存配置≥16GB；采用硬盘容量≥1TB企业级硬盘；具有≥2×千兆网络接口（RJ45）；具有视频输出接口：≥1×HDMI(支持1920×1080分辨率)、≥1×VGA、≥1×DP；具备音频接口：≥1×Mic-in端口、≥1×Line-Out端口、≥1×Line-in端口；其他接口：≥2×3.0USB、≥6×2.0USB、≥1×COM口、≥2×PS/2。</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▲5.操作系统：具有正版已激活国产操作系统</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智能无纸化会议管理服务器软件</w:t>
                  </w:r>
                  <w:r>
                    <w:rPr>
                      <w:rFonts w:ascii="仿宋_GB2312" w:hAnsi="仿宋_GB2312" w:cs="仿宋_GB2312" w:eastAsia="仿宋_GB2312"/>
                      <w:sz w:val="21"/>
                      <w:color w:val="000000"/>
                    </w:rPr>
                    <w:t>（核心产品）</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1.产品使用国家密码管理局制定的SM2、SM4国产加密算法，对数据文件进行加密处理，并在传输过程中保持加密状态。</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具有自定义无纸化系统功能，包括控制客户端界面显示或隐藏当前时间、开启或关闭个人中心上传文件、会议自动结束、议题通知、三员管理；同时还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支持广播计时功能，可切换无需计时模式、正计时模式、倒计时模式，倒计时可设置时间。（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具有自定义客户端界面模块功能，能够根据用户的个性化需求，设置欢迎界面、参会名单、查看批注、会议交流、会议笔记、网页浏览、读取U盘、电子白板、计算器、会议标语、集中控制、信号管理、屏幕广播、申请发言、手写批注、会议服务功能模块显示与隐藏，实现界面布局的精准定制；用户可选择将功能模块直接展示于首页，以供即时便捷访问；对于暂时无需频繁使用的功能，则可将其置于收纳弹窗内，确保界面整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具有切换客户端个性化主题和布局样式功能，可切换≥四种会议主题风格，包括浅色风格、商务风格、政务风格、黑色风格，提供不同软件界面；可切换≥四种客户端会议模式，包括卡片模式、简洁模式、导航模式、经典模式。（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支持自定义投票类型，支持限时投票；支持≥3种投票界面样式选择；支持自定义投票结果展示，可更换背景、可选择显示内容、可选择倒计时、自定义文本、自定义字体，支持投票结果过程的实时查看和投大屏展示；支持自定义签到结果界面、自定义背景图、选择需要展示的内容、可自定义文本、自定义字体，签到结果过程实时查看和投大屏展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▲6.具有自定义创建会议功能，可提前预设无纸化客户端界面不同会议模式；包括普通会议和保密会议，保密会议具有阅后即焚、文档水印保密机制。（提供功能界面截图佐证）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7.支持在每个议题下创建签到投票，支持不同议题时不同参会人进行签到和投票，满足同会议下多议题独立签到投票。</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8.具有设置保密会议属性功能，保密模式启用后可以实现参会人文件水印、文件阅后即焚保密机制，保障会议文件安全。</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具有三员管理功能；开启该功能后系统将分为系统管理员、安全管理员、安全审计员三种角色，不同角色功能不同；系统管理员负责系统管理，包含人员、服务器、会议室、升级、系统模块管理；安全管理员负责人员角色权限管理功能；安全审计员负责日志审计查看、追溯无纸化管理系统的人员操作记录。</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10.具有会中暂停会议功能，管理员点击暂停会议，所有用户页面锁屏无法操作,大屏内容也会被屏蔽，增强系统安全性。</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11.支持个人中心H5网页展示，可会前、会中上传资料，查看资料，支持会后下载参加过的会议的资料及批注文件，保密会议会前会后需申请权限才能查看会议资料。</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12.支持服务器系统资源监控，可查看服务器cpu使用率、内存使用率、磁盘空间、网络传输速率，可设置阈值警告。</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13.具有服务器列表显示功能，支持显示所有服务器编号、服务器名称、服务器类型、服务器在线/离线状态、服务器版本信息；具有服务器管理功能，无需搭配中控系统可通过后台软件对服务器进行管理，包括启用、停用、重启、升级、导出操作日志功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14.支持个人微终端功能，参会人通过手机app查阅未开始、进行中和已结束的会议资料，包含会议信息、参会名单、会议议题、临时资料、会议纪要。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无纸化升降器</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1.升降器采用触控超薄高清显示屏与升降器一体化设计，显示屏采用主屏+副屏双屏设计，一键操作即自动化完成启动、液晶屏上升、仰角动作。升降话筒采用手拉手方式连接，心型指向性驻极体。</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2.升降器集成升降麦克风一体化设计，话筒可适应不同的环境具有自动扶直功能，当麦杆弯曲时，机器关闭可自动扶直麦杆，不会损坏麦杆。</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3.产品传动方式以高品质耐拉皮带与高精密度的滑块导轨和直线轴承配合，交流减速电机做驱动动力；支持对接中控主机，实现控制设备在上升后，屏幕自动供电，下降后，屏幕自行断电。</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4.显示器为超薄液晶触屏类型，前屏显示尺寸≥15.6英寸，屏幕比例为16:9，显示分辨率达≥1920*1080P；副屏显示尺寸≥11.6英寸，显示分辨率达≥1366*768，对比度≥800：1，用于显示参会人员信息电子铭牌信息。</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5.桌面面板具备≥1路USB接口，支持连接U盘可进行浏览文件或上传文件操作。</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6.升降器具有≥1组232/485输入输出接口，≥2路USB接口（作用：开/关机、数据传输）。</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7.支持≥1路HDMI、≥1路VGA视频信号输入，当只有一路信号输入时，屏幕会自动识别信号，当两路信号同时输入时，可通过面板按键手动切换，当无信号输入时，屏幕自动进入省电模式。</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8.设备可通过中控软件进行集中控制，支持通过主机进行控制，一键可让室内所有的设备都上升或下降。</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9.显示屏仰角符合人体工程学原理，不遮挡视线和人脸，显示屏仰角角度可调0-30°。</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无纸化会议终端</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多媒体会议终端主机搭配终端内嵌软件负责处理会议过程的文件推送、文件分发、浏览阅读、文件批注、智能签到、投票表决、电子白板、电子铭牌、会议交流、会议服务、视频信号互联互通、会议管控、同屏广播应用。</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2.具有≥1×HDMI、≥1×VGA、≥1×MIC-IN端口、≥1×LINE-OUT端口、≥4×3.0USB,≥2×2.0USB、≥1×DC供电口、≥1×内置电源开关（USB接口）；具有≥2×千兆网口。</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▲3.操作系统：国产化操作系统。</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4.支持无纸化会议模式和桌面模式，可任意切换。</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5.可对多种文件格式进行阅览，包括常见格式doc/docx/xls/xlsx/ppt/pptx/pdf/txt/jpg/png，支持权限功能，参会人只可看到有权限的文件。</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6.会议过程中可以随时进行会议笔记记录，支持下载到本地。</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7.支持屏幕同屏广播，参会人员可以在会议进行中将本地画面共享至其他参会人员，支持跨平台广播（需搭配相关硬件实现）。</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8.采用国产处理器配置≥8核；采用内存配置≥8G；采用硬盘容量≥256GSSD固态硬盘。</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无纸化会议终端软件</w:t>
                  </w:r>
                  <w:r>
                    <w:rPr>
                      <w:rFonts w:ascii="仿宋_GB2312" w:hAnsi="仿宋_GB2312" w:cs="仿宋_GB2312" w:eastAsia="仿宋_GB2312"/>
                      <w:sz w:val="21"/>
                      <w:color w:val="000000"/>
                    </w:rPr>
                    <w:t>（核心产品）</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1.具有≥两种会议模式，包括常规会议模式和保密会议模式，保密会议模式启用后具有参会人文件水印、文件阅后即焚保密机制，保障会议文件安全。</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2.具有切换客户端会议布局模式功能，能够根据用户的需求切换≥4种不同布局方式，包括卡片模式、简洁模式、导航模式、经典模式；卡片模式，将议题以卡片形式在首页呈现，通过横向滑动查看，在首页可以查看所有议题（包括议程）；简洁模式：将议程以节目表形式在首页进行呈现，纵向滑动查看；导航模式：首页界面具有导航目录，同时展示对应功能列表签到、投票、评分、纪要、视频内容；经典模式，点击对应的功能模块，层级式进入功能详情界面，展示对应功能相关查看和操作内容。（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支持广播计时功能，可切换无需计时模式、正计时模式、倒计时模式，倒计时可设置时间。</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4.具有会中暂停会议功能，管理员点击暂停会议，所有用户页面锁屏无法操作,大屏内容也会被屏蔽，增强系统安全性。（提供功能界面截图佐证）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▲5.支持个人中心H5网页展示，可会前、会中上传资料，查看资料，支持会后查看参加过的历史会议的资料及批注文件，保密会议会前会后需申请权限才能查看会议资料。（提供功能界面截图佐证）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▲6.支持个人微终端功能，参会人通过手机app查阅未开始、进行中和已结束的会议资料，包含会议信息、参会名单、会议议题、临时资料、会议纪要。（提供功能界面截图佐证）</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7.具有扫码上传资料功能，支持手机移动终端通过扫描二维码的方式直接上传文件，视频会议资料功能。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8.具有扫码文件带走功能，会议资料生成二维码功能，可根据会议属性，控制显示二维码投屏，供参会人浏览器扫码下载会议资料。</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9.具有屏幕同屏广播功能，参会人员可以在会议进行中将本地画面共享至其他参会人员，同时可快捷屏幕投大屏，拓展支持跨平台（安卓、鸿蒙、银河麒麟桌面操作系统、统信桌面操作系统）广播；屏幕广播/文档主讲支持申请模式，发起申请后需会议管理员同意后才能发起同屏广播。同屏广播具有计时功能，可选择倒计时或顺计时，以及具有选择是否同步到大屏功能。</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无纸化流媒体主机</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1.操作系统：具有正版已激活国产操作系统</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2.标准机柜式设计（2U），内嵌高清、标清视频信号处理模块，同步、异步处理视频信号输入、输出。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3.采用国产CPU配置等同或优于单8核，内存配置等同或优于8GB，硬盘为固态硬盘且容量等同或优于128G。</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具备≥1路VGA视频输入接口，≥1路HDMI视频输入接口，≥1路VGA视频输出接口，≥1路HDMI视频输出接口，≥1×DP口，任何会议终端画面通过此接口输出至大屏幕或其他信号显示设备。≥2路3.5mm音频输入接口和≥1路3.5mm音频输出接口，实现音视频同步输入输出；具备标准接口≥4×3.0USB,≥6×2.0USB、≥1×COM口，≥2×PS/2。</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5.支持全高清1080P、高清720P高清分辨率输出。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无纸化流媒体服务器嵌入软件</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1.支持全高清1080P、高清720P等多种高清分辨率输出。</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2.支持签到投屏功能，将签到过程、签到结果展示在大屏上。</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3.支持将电子白板、会议标语、文档主讲、外部信号信息广播到大屏展示。</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4.支持投票投屏功能，将投票过程、投票结果以文字、柱状图、饼状图方式展示在大屏上。</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5.支持评分投屏功能，评分过程中查看评分人数、未提交人数。支持评分结束后以柱状图（10项以下）或表格（10项以上）的形式投屏显示评分结果。</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24口交换机</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1.交换容量：432Gbps/4.32Tbps</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2.包转发率：144Mpps/166Mpps，</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3.支持48个10/100/1000BASE-T以太网端口，4个万兆SFP+</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r>
              <w:tc>
                <w:tcPr>
                  <w:tcW w:type="dxa" w:w="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机柜</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1.42U机柜，600*600*2000mm，</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61"/>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2.8口PDU国标电源插排×1，固定板部件×3,风扇×2,2"重型脚轮×4，M12支脚×4，M6方螺母螺钉×40，内六角扳手×1。</w:t>
                  </w:r>
                </w:p>
              </w:tc>
              <w:tc>
                <w:tcPr>
                  <w:tcW w:type="dxa" w:w="361"/>
                  <w:vMerge/>
                  <w:tcBorders>
                    <w:top w:val="none" w:color="000000" w:sz="4"/>
                    <w:left w:val="non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000000"/>
              </w:rPr>
              <w:t>远程视频会议系统</w:t>
            </w:r>
          </w:p>
          <w:tbl>
            <w:tblPr>
              <w:tblBorders>
                <w:top w:val="none" w:color="000000" w:sz="4"/>
                <w:left w:val="none" w:color="000000" w:sz="4"/>
                <w:bottom w:val="none" w:color="000000" w:sz="4"/>
                <w:right w:val="none" w:color="000000" w:sz="4"/>
                <w:insideH w:val="none"/>
                <w:insideV w:val="none"/>
              </w:tblBorders>
            </w:tblPr>
            <w:tblGrid>
              <w:gridCol w:w="353"/>
              <w:gridCol w:w="424"/>
              <w:gridCol w:w="1704"/>
              <w:gridCol w:w="353"/>
              <w:gridCol w:w="353"/>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项目名称</w:t>
                  </w:r>
                </w:p>
              </w:tc>
              <w:tc>
                <w:tcPr>
                  <w:tcW w:type="dxa" w:w="1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仿宋_GB2312" w:hAnsi="仿宋_GB2312" w:cs="仿宋_GB2312" w:eastAsia="仿宋_GB2312"/>
                      <w:sz w:val="21"/>
                      <w:b/>
                      <w:color w:val="000000"/>
                    </w:rPr>
                    <w:t>技术参数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视频会议终端</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1.视频输入接口：2×HDBaseT+1×VGA+2×HDMI+1×6G-SDI；</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2.视频输出接口：1 ×VGA+3×HDMI+1 ×6G-SDI；</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3.双流：最高支持 4K30 + 4K30，并向下兼容网络接口：IP 组网 / E1（可选）。</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MCU</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64路1080P30/16路4K30端口，最大支持2组10画4K30会议（或2组25画面1080P30会议，或2组36画面720P30会议）。</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4K摄像机</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1.V412D-T除支持HDBaseT接口外，还支持HDMI接口；</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2.支持 3840*2160 30fps，支持4K分辨率视频格式；高品质851万超高解析度的4K超广角镜头，支持12倍光学变焦，水平视场角可达72.5°。</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摄像机升降器</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1.双开门设计开门不卡摄像机，电动控制，时尚美观；</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2.采用双电机、双导轨升降运行稳定无噪音，质保服务三年；</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3.金属冷轧钢烤漆机箱面板搭配8节全铝材质升降杆，高端大气上档次；</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4.一体盒式机身设计，完美隐藏桌内，桌面整洁美观，节省空间；</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5.预留走线孔位，易安装易操作，内置高清线*1，网线*1 ，电源线*1</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6.支持中控RS232/RS485、无线射频遥控、线控按钮开关，多种控制方式互不干扰；</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7.抽拉式电路板，后期维护更方便</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半球摄像机</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1.分辨率：≥2560×1440</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2.图像设置：镜像，饱和度，亮度，对比度，锐度，AGC，白平衡通过客户端或者浏览器可调</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监控服务器</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1.音频解码格式：G.711ulaw;G.711alaw;G.726</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2.音频输出：1路，RCA接口（线性电平，阻抗：1KΩ）</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3.语音对讲输入：1个，RCA接口（电平：2.0Vp-p，阻抗：1KΩ）</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4.硬盘管理盘位：1个SATA接口，单盘容量：最大支持8TB</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显示器</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1.屏幕比例：16:9</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2.分辨率：1920*1080</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3.接口：HDMI1、D-Sub*1</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4.响应时间：8ms GtG</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vMerge/>
                  <w:tcBorders>
                    <w:top w:val="none" w:color="000000" w:sz="4"/>
                    <w:left w:val="singl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5.面板类型：VA技术</w:t>
                  </w:r>
                </w:p>
              </w:tc>
              <w:tc>
                <w:tcPr>
                  <w:tcW w:type="dxa" w:w="353"/>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显示器支架</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四屏显示器支架，机械臂一拖四。</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扩展坞</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left"/>
                  </w:pPr>
                  <w:r>
                    <w:rPr>
                      <w:rFonts w:ascii="仿宋_GB2312" w:hAnsi="仿宋_GB2312" w:cs="仿宋_GB2312" w:eastAsia="仿宋_GB2312"/>
                      <w:sz w:val="21"/>
                      <w:color w:val="000000"/>
                    </w:rPr>
                    <w:t>HDMI接口。</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自合同签订后2个月内完成整体交付，试运行15天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合同签订后30个日内，经采购人确认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项目建设内容全部完成交付且初验合格后后，经采购人确认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项目最终验收合格后，经采购人确认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所有产品质量必须符合现行的国家标准或国家行政部门颁布的法律法规、规章制度等。没有国家标准的，可以参考行业标准。所有设备及辅材必须是未使用过的新产品，质量优良、渠道正当，配置合理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1、中标单位签订合同之日起，全程负责使用人员的相关培训和设备使用 2、中标单位在中标(成交)结果公告结束后3个工作日内向采购代理机构提供纸质版投标文件正本一份（正本加盖鲜章），副本二份，电子U盘一份(投标文件内容与电子版一致)。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3、基本资格要求.docx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代理机构在资格审查环节在线对各投标单位财务审计报告进行查询，并对查询结果截图保存，若在注册会计师行业统一监管平台无法查询，将视为不响应）</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供应商需在项目电子化交易系统中按要求填写《投标函》完成承诺及基本资格要求内填写《供应商企业关系关联承诺书》并进行电子签章。</w:t>
            </w:r>
          </w:p>
        </w:tc>
        <w:tc>
          <w:tcPr>
            <w:tcW w:type="dxa" w:w="1661"/>
          </w:tcPr>
          <w:p>
            <w:pPr>
              <w:pStyle w:val="null3"/>
            </w:pPr>
            <w:r>
              <w:rPr>
                <w:rFonts w:ascii="仿宋_GB2312" w:hAnsi="仿宋_GB2312" w:cs="仿宋_GB2312" w:eastAsia="仿宋_GB2312"/>
              </w:rPr>
              <w:t>投标函 3、基本资格要求.docx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提供2025年6月至今已缴存的至少一个月的社会保障资金缴存凭证或社保机构开具的社会保险参保证明，依法不需要缴纳社会保障资金的单位应提供相关证明材料。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3、基本资格要求.docx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4、特殊资格证明.docx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 ）</w:t>
            </w:r>
          </w:p>
        </w:tc>
        <w:tc>
          <w:tcPr>
            <w:tcW w:type="dxa" w:w="1661"/>
          </w:tcPr>
          <w:p>
            <w:pPr>
              <w:pStyle w:val="null3"/>
            </w:pPr>
            <w:r>
              <w:rPr>
                <w:rFonts w:ascii="仿宋_GB2312" w:hAnsi="仿宋_GB2312" w:cs="仿宋_GB2312" w:eastAsia="仿宋_GB2312"/>
              </w:rPr>
              <w:t>4、特殊资格证明.docx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招标文件商务要求响应情况，若负偏离，投标无效。</w:t>
            </w:r>
          </w:p>
        </w:tc>
        <w:tc>
          <w:tcPr>
            <w:tcW w:type="dxa" w:w="1661"/>
          </w:tcPr>
          <w:p>
            <w:pPr>
              <w:pStyle w:val="null3"/>
            </w:pPr>
            <w:r>
              <w:rPr>
                <w:rFonts w:ascii="仿宋_GB2312" w:hAnsi="仿宋_GB2312" w:cs="仿宋_GB2312" w:eastAsia="仿宋_GB2312"/>
              </w:rPr>
              <w:t>5、商务响应表.docx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招标文件技术要求响应情况，若加★号负偏离， 投标无效。</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出现不符合法律法规和招标文件中规定的其他实质性要求的情况，投标无效。</w:t>
            </w:r>
          </w:p>
        </w:tc>
        <w:tc>
          <w:tcPr>
            <w:tcW w:type="dxa" w:w="1661"/>
          </w:tcPr>
          <w:p>
            <w:pPr>
              <w:pStyle w:val="null3"/>
            </w:pPr>
            <w:r>
              <w:rPr>
                <w:rFonts w:ascii="仿宋_GB2312" w:hAnsi="仿宋_GB2312" w:cs="仿宋_GB2312" w:eastAsia="仿宋_GB2312"/>
              </w:rPr>
              <w:t>开标一览表 5、商务响应表.docx 中小企业声明函 2、陕西省政府采购供应商拒绝政府采购领域商业贿赂承诺书.docx 产品技术参数表 投标函 残疾人福利性单位声明函 4、特殊资格证明.docx 1、分项报价表.docx 标的清单 3、基本资格要求.docx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21.5分；技术指标每负偏离一项扣0.1分，扣完为止。（根据技术要求提供相关证明材料，投标人应在投标文件中给出明确的证明材料索引。若未要求，以技术指标偏离表中投标人响应为准，投标人需据实填写，若后期发现虚假响应，将按提供虚假材料谋取中标报送相关部门）</w:t>
            </w:r>
          </w:p>
        </w:tc>
        <w:tc>
          <w:tcPr>
            <w:tcW w:type="dxa" w:w="831"/>
          </w:tcPr>
          <w:p>
            <w:pPr>
              <w:pStyle w:val="null3"/>
              <w:jc w:val="right"/>
            </w:pPr>
            <w:r>
              <w:rPr>
                <w:rFonts w:ascii="仿宋_GB2312" w:hAnsi="仿宋_GB2312" w:cs="仿宋_GB2312" w:eastAsia="仿宋_GB2312"/>
              </w:rPr>
              <w:t>21.5000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4.2分；技术指标每负偏离一项扣0.6分，扣完为止。（根据技术要求提供相关证明材料，投标人应在投标文件中给出明确的证明材料索引。若未要求，以技术指标偏离表中投标人响应为准，投标人需据实填写，若后期发现虚假响应，将按提供虚假材料谋取中标报送相关部门）</w:t>
            </w:r>
          </w:p>
        </w:tc>
        <w:tc>
          <w:tcPr>
            <w:tcW w:type="dxa" w:w="831"/>
          </w:tcPr>
          <w:p>
            <w:pPr>
              <w:pStyle w:val="null3"/>
              <w:jc w:val="right"/>
            </w:pPr>
            <w:r>
              <w:rPr>
                <w:rFonts w:ascii="仿宋_GB2312" w:hAnsi="仿宋_GB2312" w:cs="仿宋_GB2312" w:eastAsia="仿宋_GB2312"/>
              </w:rPr>
              <w:t>4.2000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产品合法来源渠道证明</w:t>
            </w:r>
          </w:p>
        </w:tc>
        <w:tc>
          <w:tcPr>
            <w:tcW w:type="dxa" w:w="2492"/>
          </w:tcPr>
          <w:p>
            <w:pPr>
              <w:pStyle w:val="null3"/>
            </w:pPr>
            <w:r>
              <w:rPr>
                <w:rFonts w:ascii="仿宋_GB2312" w:hAnsi="仿宋_GB2312" w:cs="仿宋_GB2312" w:eastAsia="仿宋_GB2312"/>
              </w:rPr>
              <w:t>根据投标人提供产品（LED大屏、视频处理器、全数字会议系统主机、会议话筒处理器、专业音箱、专业功放、无线话筒、调音台、音频处理器、无缝高清矩阵切换器、无纸化主机、智能无纸化会议管理服务器软件、无纸化升降器、无纸化会议终端、无纸化会议终端软件、无纸化流媒体主机、无纸化流媒体服务器嵌入软件、视频会议终端、MCU、4K摄像机、摄像机升降器、半球摄像机、监控服务器）共计23个主要采购产品的合法来源渠道的证明文件资料（包括但不限于销售协议、代理协议、原厂授权等，供应商若为所投产品制造商须提供制造商声明函）计分，全部提供得3.3分，提供17个及以上得2.2分，提供10个及以上得1.1分，提供10个以下或未提供不得分。</w:t>
            </w:r>
          </w:p>
        </w:tc>
        <w:tc>
          <w:tcPr>
            <w:tcW w:type="dxa" w:w="831"/>
          </w:tcPr>
          <w:p>
            <w:pPr>
              <w:pStyle w:val="null3"/>
              <w:jc w:val="right"/>
            </w:pPr>
            <w:r>
              <w:rPr>
                <w:rFonts w:ascii="仿宋_GB2312" w:hAnsi="仿宋_GB2312" w:cs="仿宋_GB2312" w:eastAsia="仿宋_GB2312"/>
              </w:rPr>
              <w:t>3.3000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11、产品合法来源渠道证明.docx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及措施等具体内容赋分：一、评审标准1、完整性：方案必须全面，对评审内容中的各项要求有详细描述；2、可实施性：切合本项目实际情况，提出步骤清晰、专业性强、合理的方案；3、针对性：方案能够紧扣项目实际需求，内容科学，保障项目顺利实施。二、赋分标准（满分4.5分）共1项内容，每项内容满分4.5分。按照“评审标准”，每项内容每满足一项评审标准得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6、应急预案.docx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的实施方案内容进行赋分，方案内容包括：（1）各项工作进度安排；（2）各项工作的进度保障措施；（3）服务质量保障措施；（4）针对各类突发状况的不同应急保障措施。一、评审标准1、完整性：方案必须全面，包括但不限于项目管理、计划管理、过程管理、质量管理和风险管理、交付成果、验收计划等内容，对评审内容中的各项要求有详细描述；2、可实施性：切合本项目实际情况，提出步骤清晰、专业性强、合理的方案；3、针对性：方案能够紧扣项目实际需求，内容科学，保障项目顺利实施。二、赋分标准（满分12分）共4项内容，每项内容满分3分。按照“评审标准”，每项内容每满足一项评审标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投标人的售后服务承诺、维护保修计划进行赋分，方案包括具体的（1）售后服务内容，（2）响应方式、响应时间、（3）故障服务管理、问题管理、（4）设备返修管理、服务报告管理。一、评审标准1、完整性：方案必须全面，对评审内容中的各项要求有详细描述；2、可实施性：切合本项目实际情况，提出步骤清晰、专业性强、合理的方案；3、针对性：方案能够紧扣项目实际需求，内容科学，保障项目顺利实施。二、赋分标准（满分12分）共4项内容，每项内容满分3分。按照“评审标准”，每项内容每满足一项评审标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的培训方案内容进行赋分，培训内容包括：（1）所提供产品的原理和技术性能；（2）操作维护方法；（3）常规排除故障。一、评审标准1、完整性：方案必须全面，对评审内容中的各项要求有详细描述；2、可实施性：切合本项目实际情况，提出步骤清晰、专业性强、合理的方案；3、针对性：方案能够紧扣项目实际需求，内容科学，保障项目顺利实施。二、赋分标准（满分4.5分）共3项内容，每项内容满分1.5分。按照“评审标准”，每项内容每满足一项评审标准得0.5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提供2022年1月1日以来类似项目业绩，每提供1份得2分，最高得8分。 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1、分项报价表.docx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详见附件：3、基本资格要求.docx</w:t>
      </w:r>
    </w:p>
    <w:p>
      <w:pPr>
        <w:pStyle w:val="null3"/>
        <w:ind w:firstLine="960"/>
      </w:pPr>
      <w:r>
        <w:rPr>
          <w:rFonts w:ascii="仿宋_GB2312" w:hAnsi="仿宋_GB2312" w:cs="仿宋_GB2312" w:eastAsia="仿宋_GB2312"/>
        </w:rPr>
        <w:t>详见附件：4、特殊资格证明.docx</w:t>
      </w:r>
    </w:p>
    <w:p>
      <w:pPr>
        <w:pStyle w:val="null3"/>
        <w:ind w:firstLine="960"/>
      </w:pPr>
      <w:r>
        <w:rPr>
          <w:rFonts w:ascii="仿宋_GB2312" w:hAnsi="仿宋_GB2312" w:cs="仿宋_GB2312" w:eastAsia="仿宋_GB2312"/>
        </w:rPr>
        <w:t>详见附件：5、商务响应表.docx</w:t>
      </w:r>
    </w:p>
    <w:p>
      <w:pPr>
        <w:pStyle w:val="null3"/>
        <w:ind w:firstLine="960"/>
      </w:pPr>
      <w:r>
        <w:rPr>
          <w:rFonts w:ascii="仿宋_GB2312" w:hAnsi="仿宋_GB2312" w:cs="仿宋_GB2312" w:eastAsia="仿宋_GB2312"/>
        </w:rPr>
        <w:t>详见附件：6、应急预案.docx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详见附件：8、售后服务承诺.docx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详见附件：11、产品合法来源渠道证明.docx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