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lang w:val="en-US" w:eastAsia="zh-CN"/>
        </w:rPr>
        <w:t>投标人</w:t>
      </w:r>
      <w:r>
        <w:rPr>
          <w:rFonts w:hint="eastAsia" w:ascii="宋体" w:hAnsi="宋体" w:eastAsia="宋体" w:cs="宋体"/>
          <w:b/>
          <w:bCs/>
          <w:i w:val="0"/>
          <w:iCs w:val="0"/>
          <w:caps w:val="0"/>
          <w:color w:val="auto"/>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5E9555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1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632A807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宋体" w:hAnsi="宋体" w:eastAsia="宋体" w:cs="宋体"/>
          <w:i w:val="0"/>
          <w:iCs w:val="0"/>
          <w:caps w:val="0"/>
          <w:color w:val="auto"/>
          <w:spacing w:val="0"/>
          <w:sz w:val="24"/>
          <w:szCs w:val="24"/>
          <w:shd w:val="clear" w:fill="FFFFFF"/>
          <w:vertAlign w:val="baseline"/>
          <w:lang w:val="en-US" w:eastAsia="zh-CN"/>
        </w:rPr>
      </w:pPr>
      <w:r>
        <w:rPr>
          <w:rFonts w:hint="eastAsia" w:cs="宋体"/>
          <w:i w:val="0"/>
          <w:iCs w:val="0"/>
          <w:caps w:val="0"/>
          <w:color w:val="auto"/>
          <w:spacing w:val="0"/>
          <w:sz w:val="24"/>
          <w:szCs w:val="24"/>
          <w:shd w:val="clear" w:fill="FFFFFF"/>
          <w:vertAlign w:val="baseline"/>
          <w:lang w:val="en-US" w:eastAsia="zh-CN"/>
        </w:rPr>
        <w:t xml:space="preserve">2.2须具有兽药经营许可证（含兽用生物制品） </w:t>
      </w:r>
    </w:p>
    <w:p w14:paraId="7B80A26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cs="宋体"/>
          <w:i w:val="0"/>
          <w:iCs w:val="0"/>
          <w:caps w:val="0"/>
          <w:color w:val="auto"/>
          <w:spacing w:val="0"/>
          <w:sz w:val="24"/>
          <w:szCs w:val="24"/>
          <w:shd w:val="clear" w:fill="FFFFFF"/>
          <w:vertAlign w:val="baseline"/>
          <w:lang w:val="en-US" w:eastAsia="zh-CN"/>
        </w:rPr>
      </w:pPr>
      <w:r>
        <w:rPr>
          <w:rFonts w:hint="eastAsia" w:cs="宋体"/>
          <w:i w:val="0"/>
          <w:iCs w:val="0"/>
          <w:caps w:val="0"/>
          <w:color w:val="auto"/>
          <w:spacing w:val="0"/>
          <w:sz w:val="24"/>
          <w:szCs w:val="24"/>
          <w:shd w:val="clear" w:fill="FFFFFF"/>
          <w:vertAlign w:val="baseline"/>
          <w:lang w:val="en-US" w:eastAsia="zh-CN"/>
        </w:rPr>
        <w:t>2.</w:t>
      </w:r>
      <w:r>
        <w:rPr>
          <w:rFonts w:hint="eastAsia" w:cs="宋体"/>
          <w:i w:val="0"/>
          <w:iCs w:val="0"/>
          <w:caps w:val="0"/>
          <w:color w:val="auto"/>
          <w:spacing w:val="0"/>
          <w:sz w:val="24"/>
          <w:szCs w:val="24"/>
          <w:shd w:val="clear" w:fill="FFFFFF"/>
          <w:vertAlign w:val="baseline"/>
          <w:lang w:val="en-US" w:eastAsia="zh-CN"/>
        </w:rPr>
        <w:t xml:space="preserve">3供应商未列入“信用中国”网站(www.creditchina.gov.cn)失信被执行人、重大税收违法失信主体、政府采购严重违法失信行为记录名单和“中国政府采购网”(www.ccgp.gov.cn)政府采购严重违法失信行为记录名单; </w:t>
      </w:r>
    </w:p>
    <w:p w14:paraId="7E8254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cs="宋体"/>
          <w:i w:val="0"/>
          <w:iCs w:val="0"/>
          <w:caps w:val="0"/>
          <w:color w:val="auto"/>
          <w:spacing w:val="0"/>
          <w:sz w:val="24"/>
          <w:szCs w:val="24"/>
          <w:shd w:val="clear" w:fill="FFFFFF"/>
          <w:vertAlign w:val="baseline"/>
          <w:lang w:val="en-US" w:eastAsia="zh-CN"/>
        </w:rPr>
      </w:pPr>
      <w:r>
        <w:rPr>
          <w:rFonts w:hint="eastAsia" w:cs="宋体"/>
          <w:i w:val="0"/>
          <w:iCs w:val="0"/>
          <w:caps w:val="0"/>
          <w:color w:val="auto"/>
          <w:spacing w:val="0"/>
          <w:sz w:val="24"/>
          <w:szCs w:val="24"/>
          <w:shd w:val="clear" w:fill="FFFFFF"/>
          <w:vertAlign w:val="baseline"/>
          <w:lang w:val="en-US" w:eastAsia="zh-CN"/>
        </w:rPr>
        <w:t xml:space="preserve">2.4供应商不得存在单位负责人为同一人或者存在直接控股、管理关系的不同供应商，不得参加同一合同项下的政府采购活动。 </w:t>
      </w:r>
    </w:p>
    <w:p w14:paraId="4CB76E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处理。2）除注明原件外，均为复印件并须加盖供应商公章。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3B7AB82">
      <w:pPr>
        <w:keepNext w:val="0"/>
        <w:keepLines w:val="0"/>
        <w:pageBreakBefore w:val="0"/>
        <w:widowControl/>
        <w:kinsoku/>
        <w:wordWrap/>
        <w:overflowPunct/>
        <w:topLinePunct w:val="0"/>
        <w:autoSpaceDE/>
        <w:autoSpaceDN/>
        <w:bidi w:val="0"/>
        <w:adjustRightInd/>
        <w:snapToGrid/>
        <w:spacing w:beforeLines="50" w:line="440" w:lineRule="exact"/>
        <w:jc w:val="both"/>
        <w:textAlignment w:val="auto"/>
        <w:outlineLvl w:val="1"/>
        <w:rPr>
          <w:rFonts w:hint="eastAsia" w:ascii="宋体" w:hAnsi="宋体" w:eastAsia="宋体" w:cs="宋体"/>
          <w:b/>
          <w:color w:val="auto"/>
          <w:spacing w:val="4"/>
          <w:sz w:val="28"/>
          <w:szCs w:val="28"/>
          <w:highlight w:val="none"/>
          <w:lang w:val="en-US" w:eastAsia="zh-CN"/>
        </w:rPr>
      </w:pPr>
    </w:p>
    <w:p w14:paraId="18A0D6BD">
      <w:pPr>
        <w:keepNext w:val="0"/>
        <w:keepLines w:val="0"/>
        <w:pageBreakBefore w:val="0"/>
        <w:widowControl/>
        <w:kinsoku/>
        <w:wordWrap/>
        <w:overflowPunct/>
        <w:topLinePunct w:val="0"/>
        <w:autoSpaceDE/>
        <w:autoSpaceDN/>
        <w:bidi w:val="0"/>
        <w:adjustRightInd/>
        <w:snapToGrid/>
        <w:spacing w:beforeLines="50" w:line="440" w:lineRule="exact"/>
        <w:jc w:val="left"/>
        <w:textAlignment w:val="auto"/>
        <w:outlineLvl w:val="1"/>
        <w:rPr>
          <w:rFonts w:hint="eastAsia" w:ascii="宋体" w:hAnsi="宋体" w:eastAsia="宋体" w:cs="宋体"/>
          <w:b/>
          <w:bCs/>
          <w:color w:val="auto"/>
          <w:spacing w:val="4"/>
          <w:sz w:val="28"/>
          <w:szCs w:val="28"/>
          <w:highlight w:val="none"/>
          <w:lang w:val="en-US" w:eastAsia="zh-CN"/>
        </w:rPr>
      </w:pPr>
      <w:r>
        <w:rPr>
          <w:rFonts w:hint="eastAsia" w:ascii="宋体" w:hAnsi="宋体" w:eastAsia="宋体" w:cs="宋体"/>
          <w:i w:val="0"/>
          <w:iCs w:val="0"/>
          <w:caps w:val="0"/>
          <w:color w:val="auto"/>
          <w:spacing w:val="0"/>
          <w:sz w:val="24"/>
          <w:szCs w:val="24"/>
          <w:shd w:val="clear" w:fill="FFFFFF"/>
          <w:vertAlign w:val="baseline"/>
          <w:lang w:val="en-US" w:eastAsia="zh-CN"/>
        </w:rPr>
        <w:t xml:space="preserve"> </w:t>
      </w:r>
      <w:r>
        <w:rPr>
          <w:rFonts w:hint="eastAsia" w:ascii="宋体" w:hAnsi="宋体" w:eastAsia="宋体" w:cs="宋体"/>
          <w:b/>
          <w:bCs/>
          <w:i w:val="0"/>
          <w:iCs w:val="0"/>
          <w:caps w:val="0"/>
          <w:color w:val="auto"/>
          <w:spacing w:val="0"/>
          <w:sz w:val="24"/>
          <w:szCs w:val="24"/>
          <w:shd w:val="clear" w:fill="FFFFFF"/>
          <w:vertAlign w:val="baseline"/>
          <w:lang w:val="en-US" w:eastAsia="zh-CN"/>
        </w:rPr>
        <w:t xml:space="preserve"> </w:t>
      </w: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1供应商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w:t>
      </w:r>
      <w:r>
        <w:rPr>
          <w:rFonts w:hint="eastAsia" w:hAnsi="宋体" w:cs="宋体"/>
          <w:b/>
          <w:bCs/>
          <w:lang w:val="en-US" w:eastAsia="zh-CN"/>
        </w:rPr>
        <w:t>投标</w:t>
      </w:r>
      <w:r>
        <w:rPr>
          <w:rFonts w:hint="eastAsia" w:hAnsi="宋体" w:cs="宋体"/>
          <w:b/>
          <w:bCs/>
          <w:lang w:val="zh-CN"/>
        </w:rPr>
        <w:t>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w:t>
      </w:r>
      <w:r>
        <w:rPr>
          <w:rFonts w:hint="eastAsia" w:hAnsi="宋体" w:cs="宋体"/>
          <w:b/>
          <w:bCs/>
          <w:szCs w:val="24"/>
          <w:lang w:val="en-US" w:eastAsia="zh-CN"/>
        </w:rPr>
        <w:t>投标</w:t>
      </w:r>
      <w:r>
        <w:rPr>
          <w:rFonts w:hint="eastAsia" w:hAnsi="宋体" w:cs="宋体"/>
          <w:b/>
          <w:bCs/>
          <w:szCs w:val="24"/>
        </w:rPr>
        <w:t>时提供</w:t>
      </w:r>
      <w:r>
        <w:rPr>
          <w:rFonts w:hint="eastAsia" w:hAnsi="宋体" w:cs="宋体"/>
          <w:szCs w:val="24"/>
        </w:rPr>
        <w:t>。</w:t>
      </w:r>
    </w:p>
    <w:p w14:paraId="4B6FD6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2" w:firstLineChars="200"/>
        <w:jc w:val="both"/>
        <w:textAlignment w:val="baseline"/>
        <w:rPr>
          <w:rFonts w:hint="default" w:ascii="宋体" w:hAnsi="宋体" w:eastAsia="宋体" w:cs="宋体"/>
          <w:b/>
          <w:bCs/>
          <w:i w:val="0"/>
          <w:iCs w:val="0"/>
          <w:caps w:val="0"/>
          <w:color w:val="auto"/>
          <w:spacing w:val="0"/>
          <w:sz w:val="24"/>
          <w:szCs w:val="24"/>
          <w:shd w:val="clear" w:fill="FFFFFF"/>
          <w:vertAlign w:val="baseline"/>
          <w:lang w:val="en-US" w:eastAsia="zh-CN" w:bidi="ar-SA"/>
        </w:rPr>
      </w:pPr>
      <w:r>
        <w:rPr>
          <w:rFonts w:hint="eastAsia" w:ascii="宋体" w:hAnsi="宋体" w:eastAsia="宋体" w:cs="宋体"/>
          <w:b/>
          <w:bCs/>
          <w:i w:val="0"/>
          <w:iCs w:val="0"/>
          <w:caps w:val="0"/>
          <w:color w:val="auto"/>
          <w:spacing w:val="0"/>
          <w:sz w:val="24"/>
          <w:szCs w:val="24"/>
          <w:shd w:val="clear" w:fill="FFFFFF"/>
          <w:vertAlign w:val="baseline"/>
          <w:lang w:val="en-US" w:eastAsia="zh-CN" w:bidi="ar-SA"/>
        </w:rPr>
        <w:t xml:space="preserve">2.2须具有兽药经营许可证（含兽用生物制品） </w:t>
      </w:r>
    </w:p>
    <w:p w14:paraId="45601CF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1858758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r>
        <w:rPr>
          <w:rFonts w:hint="eastAsia" w:ascii="宋体" w:hAnsi="宋体" w:eastAsia="宋体"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.3</w:t>
      </w:r>
      <w:r>
        <w:rPr>
          <w:rFonts w:hint="eastAsia" w:cs="宋体"/>
          <w:b/>
          <w:bCs/>
          <w:i w:val="0"/>
          <w:iCs w:val="0"/>
          <w:caps w:val="0"/>
          <w:color w:val="auto"/>
          <w:spacing w:val="0"/>
          <w:sz w:val="24"/>
          <w:szCs w:val="24"/>
          <w:shd w:val="clear" w:fill="FFFFFF"/>
          <w:vertAlign w:val="baseline"/>
          <w:lang w:val="en-US" w:eastAsia="zh-CN"/>
        </w:rPr>
        <w:t xml:space="preserve">供应商未列入“信用中国”网站(www.creditchina.gov.cn)失信被执行人、重大税收违法失信主体、政府采购严重违法失信行为记录名单和“中国政府采购网”(www.ccgp.gov.cn)政府采购严重违法失信行为记录名单; </w:t>
      </w:r>
    </w:p>
    <w:p w14:paraId="72F0B35A">
      <w:pPr>
        <w:keepNext w:val="0"/>
        <w:keepLines w:val="0"/>
        <w:pageBreakBefore w:val="0"/>
        <w:widowControl/>
        <w:kinsoku/>
        <w:wordWrap/>
        <w:overflowPunct/>
        <w:topLinePunct w:val="0"/>
        <w:autoSpaceDE/>
        <w:autoSpaceDN/>
        <w:bidi w:val="0"/>
        <w:adjustRightInd/>
        <w:snapToGrid/>
        <w:spacing w:beforeLines="50" w:line="440" w:lineRule="exact"/>
        <w:ind w:firstLine="723" w:firstLineChars="200"/>
        <w:jc w:val="both"/>
        <w:textAlignment w:val="auto"/>
        <w:outlineLvl w:val="1"/>
        <w:rPr>
          <w:rFonts w:hint="eastAsia" w:ascii="宋体" w:hAnsi="宋体" w:eastAsia="宋体" w:cs="宋体"/>
          <w:b/>
          <w:bCs/>
          <w:color w:val="auto"/>
          <w:sz w:val="36"/>
          <w:szCs w:val="36"/>
          <w:highlight w:val="none"/>
        </w:rPr>
      </w:pPr>
    </w:p>
    <w:p w14:paraId="57E9619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8E700B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F28D8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81F3BF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BFFB2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D03A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840D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C9D4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4D705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439746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3C4E44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38A012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ED20D1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0B0C6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46FAA1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7F2B09E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F6C276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5D37C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49864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8DD846E">
      <w:pPr>
        <w:pStyle w:val="10"/>
        <w:ind w:left="0" w:leftChars="0" w:firstLine="0" w:firstLineChars="0"/>
        <w:rPr>
          <w:rFonts w:hint="eastAsia" w:ascii="宋体" w:hAnsi="宋体" w:eastAsia="宋体" w:cs="宋体"/>
          <w:b/>
          <w:color w:val="auto"/>
          <w:sz w:val="36"/>
          <w:szCs w:val="36"/>
          <w:highlight w:val="none"/>
        </w:rPr>
      </w:pPr>
    </w:p>
    <w:p w14:paraId="1CF5E3D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lang w:val="en-US" w:eastAsia="zh-CN"/>
        </w:rPr>
        <w:t>.4</w:t>
      </w:r>
      <w:r>
        <w:rPr>
          <w:rFonts w:hint="eastAsia" w:ascii="宋体" w:hAnsi="宋体" w:eastAsia="宋体" w:cs="宋体"/>
          <w:b/>
          <w:bCs/>
          <w:i w:val="0"/>
          <w:iCs w:val="0"/>
          <w:caps w:val="0"/>
          <w:color w:val="auto"/>
          <w:spacing w:val="0"/>
          <w:sz w:val="24"/>
          <w:szCs w:val="24"/>
          <w:shd w:val="clear" w:fill="FFFFFF"/>
          <w:vertAlign w:val="baseline"/>
        </w:rPr>
        <w:t>供应商不得存在单位负责人为同一人或者存在直接控股、管理关系的不同供应商，不得参加同一合同项下的政府采购活动；</w:t>
      </w: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供应商</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A8ACE65">
      <w:pPr>
        <w:jc w:val="center"/>
        <w:rPr>
          <w:rFonts w:hint="eastAsia" w:ascii="宋体" w:hAnsi="宋体" w:eastAsia="宋体" w:cs="宋体"/>
          <w:b/>
          <w:color w:val="auto"/>
          <w:sz w:val="28"/>
          <w:szCs w:val="28"/>
          <w:lang w:val="en-US" w:eastAsia="zh-CN"/>
        </w:rPr>
      </w:pPr>
    </w:p>
    <w:p w14:paraId="5A3A8A49">
      <w:pPr>
        <w:jc w:val="center"/>
        <w:rPr>
          <w:rFonts w:hint="eastAsia" w:ascii="宋体" w:hAnsi="宋体" w:eastAsia="宋体" w:cs="宋体"/>
          <w:b/>
          <w:color w:val="auto"/>
          <w:sz w:val="28"/>
          <w:szCs w:val="28"/>
          <w:lang w:val="en-US" w:eastAsia="zh-CN"/>
        </w:rPr>
      </w:pPr>
    </w:p>
    <w:p w14:paraId="76D96123">
      <w:pPr>
        <w:jc w:val="center"/>
        <w:rPr>
          <w:rFonts w:hint="eastAsia" w:ascii="宋体" w:hAnsi="宋体" w:eastAsia="宋体" w:cs="宋体"/>
          <w:b/>
          <w:color w:val="auto"/>
          <w:sz w:val="28"/>
          <w:szCs w:val="28"/>
          <w:lang w:val="en-US" w:eastAsia="zh-CN"/>
        </w:rPr>
      </w:pP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p>
    <w:p w14:paraId="4542E0D4">
      <w:pPr>
        <w:pStyle w:val="2"/>
        <w:rPr>
          <w:rFonts w:hint="eastAsia" w:ascii="宋体" w:hAnsi="宋体" w:eastAsia="宋体" w:cs="宋体"/>
          <w:b/>
          <w:color w:val="auto"/>
          <w:sz w:val="30"/>
          <w:szCs w:val="30"/>
          <w:highlight w:val="none"/>
        </w:rPr>
      </w:pPr>
    </w:p>
    <w:p w14:paraId="630D0E6B">
      <w:pPr>
        <w:pStyle w:val="2"/>
        <w:rPr>
          <w:rFonts w:hint="eastAsia" w:ascii="宋体" w:hAnsi="宋体" w:eastAsia="宋体" w:cs="宋体"/>
          <w:b/>
          <w:color w:val="auto"/>
          <w:sz w:val="30"/>
          <w:szCs w:val="30"/>
          <w:highlight w:val="none"/>
        </w:rPr>
      </w:pPr>
    </w:p>
    <w:p w14:paraId="7C7EBF82">
      <w:pPr>
        <w:pStyle w:val="2"/>
        <w:rPr>
          <w:rFonts w:hint="eastAsia" w:ascii="宋体" w:hAnsi="宋体" w:eastAsia="宋体" w:cs="宋体"/>
          <w:b/>
          <w:color w:val="auto"/>
          <w:sz w:val="30"/>
          <w:szCs w:val="30"/>
          <w:highlight w:val="none"/>
        </w:rPr>
      </w:pPr>
      <w:bookmarkStart w:id="0" w:name="_GoBack"/>
      <w:bookmarkEnd w:id="0"/>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8F76B28"/>
    <w:rsid w:val="093D56A7"/>
    <w:rsid w:val="09B761E3"/>
    <w:rsid w:val="10A354E0"/>
    <w:rsid w:val="11D23196"/>
    <w:rsid w:val="138A52B7"/>
    <w:rsid w:val="1B051150"/>
    <w:rsid w:val="1E170BE2"/>
    <w:rsid w:val="213C5CE0"/>
    <w:rsid w:val="2A747175"/>
    <w:rsid w:val="2C684675"/>
    <w:rsid w:val="2EA4068B"/>
    <w:rsid w:val="2FEC3A87"/>
    <w:rsid w:val="35A77DCB"/>
    <w:rsid w:val="35D61BDE"/>
    <w:rsid w:val="3A7E7113"/>
    <w:rsid w:val="3BEA2A83"/>
    <w:rsid w:val="4077435A"/>
    <w:rsid w:val="45BE503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2697</Words>
  <Characters>2858</Characters>
  <Lines>0</Lines>
  <Paragraphs>0</Paragraphs>
  <TotalTime>4</TotalTime>
  <ScaleCrop>false</ScaleCrop>
  <LinksUpToDate>false</LinksUpToDate>
  <CharactersWithSpaces>3331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2025-12-02T10:45:14Z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