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版本号：【KRDL】K2-251113320251224001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医院运营管理信息系统HRP采购项目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【KRDL】K2-2511133</w:t>
      </w:r>
      <w:r>
        <w:br/>
      </w:r>
      <w:r>
        <w:br/>
      </w:r>
      <w:r>
        <w:br/>
      </w:r>
    </w:p>
    <w:p>
      <w:pPr>
        <w:pStyle w:val="null3"/>
        <w:jc w:val="center"/>
        <w:outlineLvl w:val="2"/>
      </w:pPr>
      <w:r>
        <w:rPr>
          <w:rFonts w:ascii="仿宋_GB2312" w:hAnsi="仿宋_GB2312" w:cs="仿宋_GB2312" w:eastAsia="仿宋_GB2312"/>
          <w:sz w:val="28"/>
          <w:b/>
        </w:rPr>
        <w:t>渭南市妇幼保健院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渭南市妇幼保健院</w:t>
      </w:r>
      <w:r>
        <w:rPr>
          <w:rFonts w:ascii="仿宋_GB2312" w:hAnsi="仿宋_GB2312" w:cs="仿宋_GB2312" w:eastAsia="仿宋_GB2312"/>
        </w:rPr>
        <w:t>委托，拟对</w:t>
      </w:r>
      <w:r>
        <w:rPr>
          <w:rFonts w:ascii="仿宋_GB2312" w:hAnsi="仿宋_GB2312" w:cs="仿宋_GB2312" w:eastAsia="仿宋_GB2312"/>
        </w:rPr>
        <w:t>医院运营管理信息系统HRP采购项目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【KRDL】K2-2511133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医院运营管理信息系统HRP采购项目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本项服务内容为渭南市妇幼保健院医院运营管理信息系统HRP采购项目，具体服务内容及需求详见本项目招标文件。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1、主体资格：供应商为向采购人提供相关服务的法人或其他组织</w:t>
      </w:r>
    </w:p>
    <w:p>
      <w:pPr>
        <w:pStyle w:val="null3"/>
      </w:pPr>
      <w:r>
        <w:rPr>
          <w:rFonts w:ascii="仿宋_GB2312" w:hAnsi="仿宋_GB2312" w:cs="仿宋_GB2312" w:eastAsia="仿宋_GB2312"/>
        </w:rPr>
        <w:t>2、信誉要求：投标人未被“信用中国”网站列入失信被执行人、重大税收违法失信主体名单，未被“中国政府采购网”网站列入政府采购严重违法失信行为记录名单</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渭南市妇幼保健院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陕西省渭南市临渭区东风街114号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0913-2066651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区陕西省西安市莲湖区高新二路1号招商银行大厦19层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刘昆、常博皓、姚瑶、王昭、代光艳、王森、靳祥德、成荔、彭明杨、王莉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17791161616、029-89581311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代理服务费收费标准：参照国家计委颁布的《招标代理服务收费管理暂行办法》（计价格[2002]1980号）及发改办价格[2003]857号文件的规定标准收取，本项目代理服务费按服务计取。 备注：在对采购代理服务费转账时需备注项目名称+采购代理服务费。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渭南市妇幼保健院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渭南市妇幼保健院</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渭南市妇幼保健院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①服务质量必须达到甲方招标文件和乙方投标文件的标准；②质量达到国家相关标准；③其他要求详见合同文本。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联系人：刘昆、常博皓</w:t>
      </w:r>
    </w:p>
    <w:p>
      <w:pPr>
        <w:pStyle w:val="null3"/>
      </w:pPr>
      <w:r>
        <w:rPr>
          <w:rFonts w:ascii="仿宋_GB2312" w:hAnsi="仿宋_GB2312" w:cs="仿宋_GB2312" w:eastAsia="仿宋_GB2312"/>
        </w:rPr>
        <w:t>联系电话：17791161616、029-89581311</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本项服务内容为渭南市妇幼保健院医院运营管理信息系统HRP采购项目，具体服务内容及需求详见本项目招标文件。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3,000,000.00</w:t>
      </w:r>
    </w:p>
    <w:p>
      <w:pPr>
        <w:pStyle w:val="null3"/>
      </w:pPr>
      <w:r>
        <w:rPr>
          <w:rFonts w:ascii="仿宋_GB2312" w:hAnsi="仿宋_GB2312" w:cs="仿宋_GB2312" w:eastAsia="仿宋_GB2312"/>
        </w:rPr>
        <w:t>采购包最高限价（元）: 3,000,000.00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医院运营管理信息系统HRP</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标的名称：医院运营管理信息系统HRP</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一、采购清单</w:t>
            </w:r>
          </w:p>
          <w:tbl>
            <w:tblPr>
              <w:tblBorders>
                <w:top w:val="none" w:color="000000" w:sz="4"/>
                <w:left w:val="none" w:color="000000" w:sz="4"/>
                <w:bottom w:val="none" w:color="000000" w:sz="4"/>
                <w:right w:val="none" w:color="000000" w:sz="4"/>
                <w:insideH w:val="none"/>
                <w:insideV w:val="none"/>
              </w:tblBorders>
            </w:tblPr>
            <w:tblGrid>
              <w:gridCol w:w="224"/>
              <w:gridCol w:w="1177"/>
              <w:gridCol w:w="382"/>
              <w:gridCol w:w="382"/>
              <w:gridCol w:w="382"/>
            </w:tblGrid>
            <w:tr>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1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功能名称</w:t>
                  </w:r>
                </w:p>
              </w:tc>
              <w:tc>
                <w:tcPr>
                  <w:tcW w:type="dxa" w:w="3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3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3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绩效管理</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行政办公</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人事信息管理模块</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物资耗材管理系统</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门诊开展远程问诊功</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智慧眼科患者管理与院外随访平台</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信息中心相关硬件及对接</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4"/>
              </w:rPr>
              <w:t>二、服务需求及要求</w:t>
            </w:r>
          </w:p>
          <w:p>
            <w:pPr>
              <w:pStyle w:val="null3"/>
              <w:jc w:val="center"/>
            </w:pPr>
            <w:r>
              <w:rPr>
                <w:rFonts w:ascii="仿宋_GB2312" w:hAnsi="仿宋_GB2312" w:cs="仿宋_GB2312" w:eastAsia="仿宋_GB2312"/>
                <w:sz w:val="24"/>
              </w:rPr>
              <w:t>第一部分绩效管理需求</w:t>
            </w:r>
          </w:p>
          <w:p>
            <w:pPr>
              <w:pStyle w:val="null3"/>
              <w:jc w:val="left"/>
            </w:pPr>
            <w:r>
              <w:rPr>
                <w:rFonts w:ascii="仿宋_GB2312" w:hAnsi="仿宋_GB2312" w:cs="仿宋_GB2312" w:eastAsia="仿宋_GB2312"/>
                <w:sz w:val="24"/>
              </w:rPr>
              <w:t>（一）提供专业调研团队支撑</w:t>
            </w:r>
          </w:p>
          <w:p>
            <w:pPr>
              <w:pStyle w:val="null3"/>
              <w:ind w:firstLine="480"/>
              <w:jc w:val="left"/>
            </w:pPr>
            <w:r>
              <w:rPr>
                <w:rFonts w:ascii="仿宋_GB2312" w:hAnsi="仿宋_GB2312" w:cs="仿宋_GB2312" w:eastAsia="仿宋_GB2312"/>
                <w:sz w:val="24"/>
              </w:rPr>
              <w:t>1.需要专业团队对医院现状进行全面摸底调研。要求调研结果能反映各科室实际情况，能充分反映问题所在。</w:t>
            </w:r>
          </w:p>
          <w:p>
            <w:pPr>
              <w:pStyle w:val="null3"/>
              <w:ind w:firstLine="480"/>
              <w:jc w:val="left"/>
            </w:pPr>
            <w:r>
              <w:rPr>
                <w:rFonts w:ascii="仿宋_GB2312" w:hAnsi="仿宋_GB2312" w:cs="仿宋_GB2312" w:eastAsia="仿宋_GB2312"/>
                <w:sz w:val="24"/>
              </w:rPr>
              <w:t>2.针对医院现状、前期数据结合医院绩效改革要求，完成绩效改革方案。</w:t>
            </w:r>
          </w:p>
          <w:p>
            <w:pPr>
              <w:pStyle w:val="null3"/>
              <w:ind w:firstLine="480"/>
              <w:jc w:val="both"/>
            </w:pPr>
            <w:r>
              <w:rPr>
                <w:rFonts w:ascii="仿宋_GB2312" w:hAnsi="仿宋_GB2312" w:cs="仿宋_GB2312" w:eastAsia="仿宋_GB2312"/>
                <w:sz w:val="24"/>
              </w:rPr>
              <w:t>3.对医院现状、前期数据摸底尽量量化要求：比如：综合运用问卷调查、座谈会、现场观察、系统分析近两年运营数据等多种方式，全面掌握医院及各科室在效率、质量、成本等方面的实际运营状况，出具《医院绩效管理诊断报告》，并进行专项汇报与解读。</w:t>
            </w:r>
          </w:p>
          <w:p>
            <w:pPr>
              <w:pStyle w:val="null3"/>
              <w:ind w:firstLine="480"/>
              <w:jc w:val="left"/>
            </w:pPr>
            <w:r>
              <w:rPr>
                <w:rFonts w:ascii="仿宋_GB2312" w:hAnsi="仿宋_GB2312" w:cs="仿宋_GB2312" w:eastAsia="仿宋_GB2312"/>
                <w:sz w:val="24"/>
              </w:rPr>
              <w:t>4.根据绩效方案配备相应的信息化系统，核算方案能充分利用信息化系统实现。</w:t>
            </w:r>
          </w:p>
          <w:p>
            <w:pPr>
              <w:pStyle w:val="null3"/>
              <w:ind w:firstLine="480"/>
              <w:jc w:val="left"/>
            </w:pPr>
            <w:r>
              <w:rPr>
                <w:rFonts w:ascii="仿宋_GB2312" w:hAnsi="仿宋_GB2312" w:cs="仿宋_GB2312" w:eastAsia="仿宋_GB2312"/>
                <w:sz w:val="24"/>
              </w:rPr>
              <w:t>5.提供后期可优化途径。核算方案、流程等关键要素对相关工作人员全部培训到位。</w:t>
            </w:r>
          </w:p>
          <w:p>
            <w:pPr>
              <w:pStyle w:val="null3"/>
              <w:jc w:val="left"/>
            </w:pPr>
            <w:r>
              <w:rPr>
                <w:rFonts w:ascii="仿宋_GB2312" w:hAnsi="仿宋_GB2312" w:cs="仿宋_GB2312" w:eastAsia="仿宋_GB2312"/>
                <w:sz w:val="24"/>
              </w:rPr>
              <w:t>（二）具体要求</w:t>
            </w:r>
          </w:p>
          <w:p>
            <w:pPr>
              <w:pStyle w:val="null3"/>
              <w:ind w:firstLine="480"/>
              <w:jc w:val="left"/>
            </w:pPr>
            <w:r>
              <w:rPr>
                <w:rFonts w:ascii="仿宋_GB2312" w:hAnsi="仿宋_GB2312" w:cs="仿宋_GB2312" w:eastAsia="仿宋_GB2312"/>
                <w:sz w:val="24"/>
              </w:rPr>
              <w:t>1.绩效管理：要与公立医院绩效评价指标框架和医院发展规划相适应，突出工作量、工作质量、工作效率、成本控制、患者满意度、职工满意度、技术难度、风险程度及教学科研等内容，充分考虑各科室、各病种技术难度、责任风险差异等，完成绩效评价、成本控制考核、关键绩效指标考核和绩效分配等。</w:t>
            </w:r>
          </w:p>
          <w:p>
            <w:pPr>
              <w:pStyle w:val="null3"/>
              <w:ind w:firstLine="480"/>
              <w:jc w:val="left"/>
            </w:pPr>
            <w:r>
              <w:rPr>
                <w:rFonts w:ascii="仿宋_GB2312" w:hAnsi="仿宋_GB2312" w:cs="仿宋_GB2312" w:eastAsia="仿宋_GB2312"/>
                <w:sz w:val="24"/>
              </w:rPr>
              <w:t>2.绩效考核管理：支持医院、职能部门、业务科室、诊疗组、个人等绩效考核评价，支持多级绩效管理方案、核算、分配。支持从目标计划、执行反馈、考核评价、结果应用、绩效改善的全过程绩效管理。支持自动获取成本核算数据、质控数据、财务数据、工作量数据、患者满意度数据等形成绩效评价指标。支持科室绩效方案设置、员工绩效方案评价审核、科室关键绩效指标管控、绩效方案审核、绩效考核、总结与分析反馈等。</w:t>
            </w:r>
          </w:p>
          <w:p>
            <w:pPr>
              <w:pStyle w:val="null3"/>
              <w:ind w:firstLine="480"/>
              <w:jc w:val="left"/>
            </w:pPr>
            <w:r>
              <w:rPr>
                <w:rFonts w:ascii="仿宋_GB2312" w:hAnsi="仿宋_GB2312" w:cs="仿宋_GB2312" w:eastAsia="仿宋_GB2312"/>
                <w:sz w:val="24"/>
              </w:rPr>
              <w:t>3.绩效方案指标体系需要涵盖4个层级：</w:t>
            </w:r>
          </w:p>
          <w:p>
            <w:pPr>
              <w:pStyle w:val="null3"/>
              <w:ind w:firstLine="480"/>
              <w:jc w:val="left"/>
            </w:pPr>
            <w:r>
              <w:rPr>
                <w:rFonts w:ascii="仿宋_GB2312" w:hAnsi="仿宋_GB2312" w:cs="仿宋_GB2312" w:eastAsia="仿宋_GB2312"/>
                <w:sz w:val="24"/>
              </w:rPr>
              <w:t>(1)医院级核心指标：涵盖医疗质量、运营效率、持续发展、满意度评价四个维度；</w:t>
            </w:r>
          </w:p>
          <w:p>
            <w:pPr>
              <w:pStyle w:val="null3"/>
              <w:ind w:firstLine="480"/>
              <w:jc w:val="left"/>
            </w:pPr>
            <w:r>
              <w:rPr>
                <w:rFonts w:ascii="仿宋_GB2312" w:hAnsi="仿宋_GB2312" w:cs="仿宋_GB2312" w:eastAsia="仿宋_GB2312"/>
                <w:sz w:val="24"/>
              </w:rPr>
              <w:t>(2)科室级关键指标：区分临床、医技、行政后勤三类科室，采用差异化指标体系；</w:t>
            </w:r>
          </w:p>
          <w:p>
            <w:pPr>
              <w:pStyle w:val="null3"/>
              <w:ind w:firstLine="480"/>
              <w:jc w:val="left"/>
            </w:pPr>
            <w:r>
              <w:rPr>
                <w:rFonts w:ascii="仿宋_GB2312" w:hAnsi="仿宋_GB2312" w:cs="仿宋_GB2312" w:eastAsia="仿宋_GB2312"/>
                <w:sz w:val="24"/>
              </w:rPr>
              <w:t>(3)诊疗组级指标：基于单项绩效指标体系，体现技术难度和风险程度；</w:t>
            </w:r>
          </w:p>
          <w:p>
            <w:pPr>
              <w:pStyle w:val="null3"/>
              <w:ind w:firstLine="480"/>
              <w:jc w:val="left"/>
            </w:pPr>
            <w:r>
              <w:rPr>
                <w:rFonts w:ascii="仿宋_GB2312" w:hAnsi="仿宋_GB2312" w:cs="仿宋_GB2312" w:eastAsia="仿宋_GB2312"/>
                <w:sz w:val="24"/>
              </w:rPr>
              <w:t>(4)个人级绩效指标：</w:t>
            </w:r>
          </w:p>
          <w:p>
            <w:pPr>
              <w:pStyle w:val="null3"/>
              <w:ind w:left="-435" w:firstLine="480"/>
              <w:jc w:val="left"/>
            </w:pPr>
            <w:r>
              <w:rPr>
                <w:rFonts w:ascii="仿宋_GB2312" w:hAnsi="仿宋_GB2312" w:cs="仿宋_GB2312" w:eastAsia="仿宋_GB2312"/>
                <w:sz w:val="24"/>
              </w:rPr>
              <w:t>①医生需要侧重诊疗质量、手术难度；</w:t>
            </w:r>
          </w:p>
          <w:p>
            <w:pPr>
              <w:pStyle w:val="null3"/>
              <w:ind w:left="-435" w:firstLine="480"/>
              <w:jc w:val="left"/>
            </w:pPr>
            <w:r>
              <w:rPr>
                <w:rFonts w:ascii="仿宋_GB2312" w:hAnsi="仿宋_GB2312" w:cs="仿宋_GB2312" w:eastAsia="仿宋_GB2312"/>
                <w:sz w:val="24"/>
              </w:rPr>
              <w:t>②护士侧重护理质量、患者安全；</w:t>
            </w:r>
          </w:p>
          <w:p>
            <w:pPr>
              <w:pStyle w:val="null3"/>
              <w:ind w:left="-435" w:firstLine="480"/>
              <w:jc w:val="left"/>
            </w:pPr>
            <w:r>
              <w:rPr>
                <w:rFonts w:ascii="仿宋_GB2312" w:hAnsi="仿宋_GB2312" w:cs="仿宋_GB2312" w:eastAsia="仿宋_GB2312"/>
                <w:sz w:val="24"/>
              </w:rPr>
              <w:t>③行政人员侧重工作效率、服务质量。</w:t>
            </w:r>
          </w:p>
          <w:p>
            <w:pPr>
              <w:pStyle w:val="null3"/>
              <w:ind w:firstLine="480"/>
              <w:jc w:val="left"/>
            </w:pPr>
            <w:r>
              <w:rPr>
                <w:rFonts w:ascii="仿宋_GB2312" w:hAnsi="仿宋_GB2312" w:cs="仿宋_GB2312" w:eastAsia="仿宋_GB2312"/>
                <w:sz w:val="24"/>
              </w:rPr>
              <w:t>4.绩效考核指标需要建立全方位体系内容：</w:t>
            </w:r>
          </w:p>
          <w:p>
            <w:pPr>
              <w:pStyle w:val="null3"/>
              <w:ind w:firstLine="480"/>
              <w:jc w:val="left"/>
            </w:pPr>
            <w:r>
              <w:rPr>
                <w:rFonts w:ascii="仿宋_GB2312" w:hAnsi="仿宋_GB2312" w:cs="仿宋_GB2312" w:eastAsia="仿宋_GB2312"/>
                <w:sz w:val="24"/>
              </w:rPr>
              <w:t>(1)临床、医疗组、医技科室：采用工作量评价+DIP病种绩效+质量安全指标的复合模型；</w:t>
            </w:r>
          </w:p>
          <w:p>
            <w:pPr>
              <w:pStyle w:val="null3"/>
              <w:ind w:firstLine="480"/>
              <w:jc w:val="left"/>
            </w:pPr>
            <w:r>
              <w:rPr>
                <w:rFonts w:ascii="仿宋_GB2312" w:hAnsi="仿宋_GB2312" w:cs="仿宋_GB2312" w:eastAsia="仿宋_GB2312"/>
                <w:sz w:val="24"/>
              </w:rPr>
              <w:t>(2)护理单元：护理难度系数、患者满意度等多维度考核；</w:t>
            </w:r>
          </w:p>
          <w:p>
            <w:pPr>
              <w:pStyle w:val="null3"/>
              <w:ind w:firstLine="480"/>
              <w:jc w:val="left"/>
            </w:pPr>
            <w:r>
              <w:rPr>
                <w:rFonts w:ascii="仿宋_GB2312" w:hAnsi="仿宋_GB2312" w:cs="仿宋_GB2312" w:eastAsia="仿宋_GB2312"/>
                <w:sz w:val="24"/>
              </w:rPr>
              <w:t>(3)行政后勤部门：采用关键业绩指标+关键能力指标+评价体系建立考核指标；</w:t>
            </w:r>
          </w:p>
          <w:p>
            <w:pPr>
              <w:pStyle w:val="null3"/>
              <w:ind w:firstLine="480"/>
              <w:jc w:val="left"/>
            </w:pPr>
            <w:r>
              <w:rPr>
                <w:rFonts w:ascii="仿宋_GB2312" w:hAnsi="仿宋_GB2312" w:cs="仿宋_GB2312" w:eastAsia="仿宋_GB2312"/>
                <w:sz w:val="24"/>
              </w:rPr>
              <w:t>(4)科研教学人员：采用科研成果转化率、教学质量评价等特色指标；</w:t>
            </w:r>
          </w:p>
          <w:p>
            <w:pPr>
              <w:pStyle w:val="null3"/>
              <w:ind w:firstLine="480"/>
              <w:jc w:val="left"/>
            </w:pPr>
            <w:r>
              <w:rPr>
                <w:rFonts w:ascii="仿宋_GB2312" w:hAnsi="仿宋_GB2312" w:cs="仿宋_GB2312" w:eastAsia="仿宋_GB2312"/>
                <w:sz w:val="24"/>
              </w:rPr>
              <w:t>5.绩效分配需要至少设计三级分配机制：</w:t>
            </w:r>
          </w:p>
          <w:p>
            <w:pPr>
              <w:pStyle w:val="null3"/>
              <w:ind w:firstLine="480"/>
              <w:jc w:val="left"/>
            </w:pPr>
            <w:r>
              <w:rPr>
                <w:rFonts w:ascii="仿宋_GB2312" w:hAnsi="仿宋_GB2312" w:cs="仿宋_GB2312" w:eastAsia="仿宋_GB2312"/>
                <w:sz w:val="24"/>
              </w:rPr>
              <w:t>(1)院级分配：基于各科室目标值、业务量、技术难度、成本控制等因素进行初次分配；</w:t>
            </w:r>
          </w:p>
          <w:p>
            <w:pPr>
              <w:pStyle w:val="null3"/>
              <w:ind w:firstLine="480"/>
              <w:jc w:val="left"/>
            </w:pPr>
            <w:r>
              <w:rPr>
                <w:rFonts w:ascii="仿宋_GB2312" w:hAnsi="仿宋_GB2312" w:cs="仿宋_GB2312" w:eastAsia="仿宋_GB2312"/>
                <w:sz w:val="24"/>
              </w:rPr>
              <w:t>(2)科室二次分配：科室主任在院级分配总额内，根据员工岗位价值、工作量和质量进行再分配；</w:t>
            </w:r>
          </w:p>
          <w:p>
            <w:pPr>
              <w:pStyle w:val="null3"/>
              <w:ind w:firstLine="480"/>
              <w:jc w:val="left"/>
            </w:pPr>
            <w:r>
              <w:rPr>
                <w:rFonts w:ascii="仿宋_GB2312" w:hAnsi="仿宋_GB2312" w:cs="仿宋_GB2312" w:eastAsia="仿宋_GB2312"/>
                <w:sz w:val="24"/>
              </w:rPr>
              <w:t>(3)特殊激励基金：设立新技术开展、疑难病例诊治、重大科研成果等专项奖励基金；</w:t>
            </w:r>
          </w:p>
          <w:p>
            <w:pPr>
              <w:pStyle w:val="null3"/>
              <w:ind w:firstLine="480"/>
              <w:jc w:val="both"/>
            </w:pPr>
            <w:r>
              <w:rPr>
                <w:rFonts w:ascii="仿宋_GB2312" w:hAnsi="仿宋_GB2312" w:cs="仿宋_GB2312" w:eastAsia="仿宋_GB2312"/>
                <w:sz w:val="24"/>
              </w:rPr>
              <w:t>6.绩效方案需要从多维度实现考核引擎核算方式并覆盖全院科室，至少包括：</w:t>
            </w:r>
          </w:p>
          <w:p>
            <w:pPr>
              <w:pStyle w:val="null3"/>
              <w:ind w:firstLine="480"/>
              <w:jc w:val="left"/>
            </w:pPr>
            <w:r>
              <w:rPr>
                <w:rFonts w:ascii="仿宋_GB2312" w:hAnsi="仿宋_GB2312" w:cs="仿宋_GB2312" w:eastAsia="仿宋_GB2312"/>
                <w:sz w:val="24"/>
              </w:rPr>
              <w:t>(1)具备效益绩效工资核算方案：</w:t>
            </w:r>
          </w:p>
          <w:p>
            <w:pPr>
              <w:pStyle w:val="null3"/>
              <w:ind w:left="-435" w:firstLine="480"/>
              <w:jc w:val="both"/>
            </w:pPr>
            <w:r>
              <w:rPr>
                <w:rFonts w:ascii="仿宋_GB2312" w:hAnsi="仿宋_GB2312" w:cs="仿宋_GB2312" w:eastAsia="仿宋_GB2312"/>
                <w:sz w:val="24"/>
              </w:rPr>
              <w:t>①门诊科室绩效核算；</w:t>
            </w:r>
          </w:p>
          <w:p>
            <w:pPr>
              <w:pStyle w:val="null3"/>
              <w:ind w:left="-435" w:firstLine="480"/>
              <w:jc w:val="both"/>
            </w:pPr>
            <w:r>
              <w:rPr>
                <w:rFonts w:ascii="仿宋_GB2312" w:hAnsi="仿宋_GB2312" w:cs="仿宋_GB2312" w:eastAsia="仿宋_GB2312"/>
                <w:sz w:val="24"/>
              </w:rPr>
              <w:t>②临床病区医生绩效核算方案；</w:t>
            </w:r>
          </w:p>
          <w:p>
            <w:pPr>
              <w:pStyle w:val="null3"/>
              <w:ind w:left="-435" w:firstLine="480"/>
              <w:jc w:val="both"/>
            </w:pPr>
            <w:r>
              <w:rPr>
                <w:rFonts w:ascii="仿宋_GB2312" w:hAnsi="仿宋_GB2312" w:cs="仿宋_GB2312" w:eastAsia="仿宋_GB2312"/>
                <w:sz w:val="24"/>
              </w:rPr>
              <w:t>③临床病区护理绩效核算方案；</w:t>
            </w:r>
          </w:p>
          <w:p>
            <w:pPr>
              <w:pStyle w:val="null3"/>
              <w:ind w:left="-435" w:firstLine="480"/>
              <w:jc w:val="both"/>
            </w:pPr>
            <w:r>
              <w:rPr>
                <w:rFonts w:ascii="仿宋_GB2312" w:hAnsi="仿宋_GB2312" w:cs="仿宋_GB2312" w:eastAsia="仿宋_GB2312"/>
                <w:sz w:val="24"/>
              </w:rPr>
              <w:t>④医技科室效益绩效核算方案；</w:t>
            </w:r>
          </w:p>
          <w:p>
            <w:pPr>
              <w:pStyle w:val="null3"/>
              <w:ind w:left="-435" w:firstLine="480"/>
              <w:jc w:val="both"/>
            </w:pPr>
            <w:r>
              <w:rPr>
                <w:rFonts w:ascii="仿宋_GB2312" w:hAnsi="仿宋_GB2312" w:cs="仿宋_GB2312" w:eastAsia="仿宋_GB2312"/>
                <w:sz w:val="24"/>
              </w:rPr>
              <w:t>⑤其他临床科室效益绩效核算方案；</w:t>
            </w:r>
          </w:p>
          <w:p>
            <w:pPr>
              <w:pStyle w:val="null3"/>
              <w:ind w:left="-435" w:firstLine="480"/>
              <w:jc w:val="both"/>
            </w:pPr>
            <w:r>
              <w:rPr>
                <w:rFonts w:ascii="仿宋_GB2312" w:hAnsi="仿宋_GB2312" w:cs="仿宋_GB2312" w:eastAsia="仿宋_GB2312"/>
                <w:sz w:val="24"/>
              </w:rPr>
              <w:t>⑥药剂、医辅科室效益核算方案；</w:t>
            </w:r>
          </w:p>
          <w:p>
            <w:pPr>
              <w:pStyle w:val="null3"/>
              <w:ind w:left="-435" w:firstLine="480"/>
              <w:jc w:val="both"/>
            </w:pPr>
            <w:r>
              <w:rPr>
                <w:rFonts w:ascii="仿宋_GB2312" w:hAnsi="仿宋_GB2312" w:cs="仿宋_GB2312" w:eastAsia="仿宋_GB2312"/>
                <w:sz w:val="24"/>
              </w:rPr>
              <w:t>⑦科室实发绩效工资核算方案；</w:t>
            </w:r>
          </w:p>
          <w:p>
            <w:pPr>
              <w:pStyle w:val="null3"/>
              <w:ind w:left="-435" w:firstLine="480"/>
              <w:jc w:val="both"/>
            </w:pPr>
            <w:r>
              <w:rPr>
                <w:rFonts w:ascii="仿宋_GB2312" w:hAnsi="仿宋_GB2312" w:cs="仿宋_GB2312" w:eastAsia="仿宋_GB2312"/>
                <w:sz w:val="24"/>
              </w:rPr>
              <w:t>⑧行政后勤人员绩效工资核算方案；</w:t>
            </w:r>
          </w:p>
          <w:p>
            <w:pPr>
              <w:pStyle w:val="null3"/>
              <w:ind w:firstLine="480"/>
              <w:jc w:val="left"/>
            </w:pPr>
            <w:r>
              <w:rPr>
                <w:rFonts w:ascii="仿宋_GB2312" w:hAnsi="仿宋_GB2312" w:cs="仿宋_GB2312" w:eastAsia="仿宋_GB2312"/>
                <w:sz w:val="24"/>
              </w:rPr>
              <w:t>(2).具备单项绩效工资核算方案：</w:t>
            </w:r>
          </w:p>
          <w:p>
            <w:pPr>
              <w:pStyle w:val="null3"/>
              <w:ind w:left="-435" w:firstLine="480"/>
              <w:jc w:val="both"/>
            </w:pPr>
            <w:r>
              <w:rPr>
                <w:rFonts w:ascii="仿宋_GB2312" w:hAnsi="仿宋_GB2312" w:cs="仿宋_GB2312" w:eastAsia="仿宋_GB2312"/>
                <w:sz w:val="24"/>
              </w:rPr>
              <w:t>①门诊诊次工作量绩效；</w:t>
            </w:r>
          </w:p>
          <w:p>
            <w:pPr>
              <w:pStyle w:val="null3"/>
              <w:ind w:left="-435" w:firstLine="480"/>
              <w:jc w:val="both"/>
            </w:pPr>
            <w:r>
              <w:rPr>
                <w:rFonts w:ascii="仿宋_GB2312" w:hAnsi="仿宋_GB2312" w:cs="仿宋_GB2312" w:eastAsia="仿宋_GB2312"/>
                <w:sz w:val="24"/>
              </w:rPr>
              <w:t>②病历质量绩效核算；</w:t>
            </w:r>
          </w:p>
          <w:p>
            <w:pPr>
              <w:pStyle w:val="null3"/>
              <w:ind w:left="-435" w:firstLine="480"/>
              <w:jc w:val="both"/>
            </w:pPr>
            <w:r>
              <w:rPr>
                <w:rFonts w:ascii="仿宋_GB2312" w:hAnsi="仿宋_GB2312" w:cs="仿宋_GB2312" w:eastAsia="仿宋_GB2312"/>
                <w:sz w:val="24"/>
              </w:rPr>
              <w:t>③会诊工作量绩效核算；</w:t>
            </w:r>
          </w:p>
          <w:p>
            <w:pPr>
              <w:pStyle w:val="null3"/>
              <w:ind w:left="-435" w:firstLine="480"/>
              <w:jc w:val="both"/>
            </w:pPr>
            <w:r>
              <w:rPr>
                <w:rFonts w:ascii="仿宋_GB2312" w:hAnsi="仿宋_GB2312" w:cs="仿宋_GB2312" w:eastAsia="仿宋_GB2312"/>
                <w:sz w:val="24"/>
              </w:rPr>
              <w:t>④医疗质量跟踪绩效；</w:t>
            </w:r>
          </w:p>
          <w:p>
            <w:pPr>
              <w:pStyle w:val="null3"/>
              <w:ind w:left="-435" w:firstLine="480"/>
              <w:jc w:val="both"/>
            </w:pPr>
            <w:r>
              <w:rPr>
                <w:rFonts w:ascii="仿宋_GB2312" w:hAnsi="仿宋_GB2312" w:cs="仿宋_GB2312" w:eastAsia="仿宋_GB2312"/>
                <w:sz w:val="24"/>
              </w:rPr>
              <w:t>⑤手术风险绩效核算；</w:t>
            </w:r>
          </w:p>
          <w:p>
            <w:pPr>
              <w:pStyle w:val="null3"/>
              <w:ind w:left="-435" w:firstLine="480"/>
              <w:jc w:val="both"/>
            </w:pPr>
            <w:r>
              <w:rPr>
                <w:rFonts w:ascii="仿宋_GB2312" w:hAnsi="仿宋_GB2312" w:cs="仿宋_GB2312" w:eastAsia="仿宋_GB2312"/>
                <w:sz w:val="24"/>
              </w:rPr>
              <w:t>⑥麻醉风险绩效绩效核算；</w:t>
            </w:r>
          </w:p>
          <w:p>
            <w:pPr>
              <w:pStyle w:val="null3"/>
              <w:ind w:left="-435" w:firstLine="480"/>
              <w:jc w:val="both"/>
            </w:pPr>
            <w:r>
              <w:rPr>
                <w:rFonts w:ascii="仿宋_GB2312" w:hAnsi="仿宋_GB2312" w:cs="仿宋_GB2312" w:eastAsia="仿宋_GB2312"/>
                <w:sz w:val="24"/>
              </w:rPr>
              <w:t>⑦助产士接生绩效；</w:t>
            </w:r>
          </w:p>
          <w:p>
            <w:pPr>
              <w:pStyle w:val="null3"/>
              <w:ind w:left="-435" w:firstLine="480"/>
              <w:jc w:val="both"/>
            </w:pPr>
            <w:r>
              <w:rPr>
                <w:rFonts w:ascii="仿宋_GB2312" w:hAnsi="仿宋_GB2312" w:cs="仿宋_GB2312" w:eastAsia="仿宋_GB2312"/>
                <w:sz w:val="24"/>
              </w:rPr>
              <w:t>⑧医院夜间工作量绩效；</w:t>
            </w:r>
          </w:p>
          <w:p>
            <w:pPr>
              <w:pStyle w:val="null3"/>
              <w:ind w:left="-435" w:firstLine="480"/>
              <w:jc w:val="both"/>
            </w:pPr>
            <w:r>
              <w:rPr>
                <w:rFonts w:ascii="仿宋_GB2312" w:hAnsi="仿宋_GB2312" w:cs="仿宋_GB2312" w:eastAsia="仿宋_GB2312"/>
                <w:sz w:val="24"/>
              </w:rPr>
              <w:t>⑨法定节假日绩效管理；</w:t>
            </w:r>
          </w:p>
          <w:p>
            <w:pPr>
              <w:pStyle w:val="null3"/>
              <w:ind w:left="-435" w:firstLine="480"/>
              <w:jc w:val="both"/>
            </w:pPr>
            <w:r>
              <w:rPr>
                <w:rFonts w:ascii="仿宋_GB2312" w:hAnsi="仿宋_GB2312" w:cs="仿宋_GB2312" w:eastAsia="仿宋_GB2312"/>
                <w:sz w:val="24"/>
              </w:rPr>
              <w:t>⑩医保DIP支付考核绩效核算；</w:t>
            </w:r>
          </w:p>
          <w:p>
            <w:pPr>
              <w:pStyle w:val="null3"/>
              <w:ind w:firstLine="480"/>
              <w:jc w:val="left"/>
            </w:pPr>
            <w:r>
              <w:rPr>
                <w:rFonts w:ascii="仿宋_GB2312" w:hAnsi="仿宋_GB2312" w:cs="仿宋_GB2312" w:eastAsia="仿宋_GB2312"/>
                <w:sz w:val="24"/>
              </w:rPr>
              <w:t>(3).具备科室绩效分配管理方案：</w:t>
            </w:r>
          </w:p>
          <w:p>
            <w:pPr>
              <w:pStyle w:val="null3"/>
              <w:ind w:left="-435" w:firstLine="480"/>
              <w:jc w:val="both"/>
            </w:pPr>
            <w:r>
              <w:rPr>
                <w:rFonts w:ascii="仿宋_GB2312" w:hAnsi="仿宋_GB2312" w:cs="仿宋_GB2312" w:eastAsia="仿宋_GB2312"/>
                <w:sz w:val="24"/>
              </w:rPr>
              <w:t>①临床科室效益绩效工资二次考核分配方案；</w:t>
            </w:r>
          </w:p>
          <w:p>
            <w:pPr>
              <w:pStyle w:val="null3"/>
              <w:ind w:left="-435" w:firstLine="480"/>
              <w:jc w:val="both"/>
            </w:pPr>
            <w:r>
              <w:rPr>
                <w:rFonts w:ascii="仿宋_GB2312" w:hAnsi="仿宋_GB2312" w:cs="仿宋_GB2312" w:eastAsia="仿宋_GB2312"/>
                <w:sz w:val="24"/>
              </w:rPr>
              <w:t>②医技科室效益绩效工资二次考核分配方案；</w:t>
            </w:r>
          </w:p>
          <w:p>
            <w:pPr>
              <w:pStyle w:val="null3"/>
              <w:ind w:left="-435" w:firstLine="480"/>
              <w:jc w:val="both"/>
            </w:pPr>
            <w:r>
              <w:rPr>
                <w:rFonts w:ascii="仿宋_GB2312" w:hAnsi="仿宋_GB2312" w:cs="仿宋_GB2312" w:eastAsia="仿宋_GB2312"/>
                <w:sz w:val="24"/>
              </w:rPr>
              <w:t>③药房效益绩效工资二次考核分配方案；</w:t>
            </w:r>
          </w:p>
          <w:p>
            <w:pPr>
              <w:pStyle w:val="null3"/>
              <w:ind w:left="-435" w:firstLine="480"/>
              <w:jc w:val="both"/>
            </w:pPr>
            <w:r>
              <w:rPr>
                <w:rFonts w:ascii="仿宋_GB2312" w:hAnsi="仿宋_GB2312" w:cs="仿宋_GB2312" w:eastAsia="仿宋_GB2312"/>
                <w:sz w:val="24"/>
              </w:rPr>
              <w:t>④行政后勤人员绩效工资二次分配方案；</w:t>
            </w:r>
          </w:p>
          <w:p>
            <w:pPr>
              <w:pStyle w:val="null3"/>
              <w:ind w:left="-435" w:firstLine="480"/>
              <w:jc w:val="both"/>
            </w:pPr>
            <w:r>
              <w:rPr>
                <w:rFonts w:ascii="仿宋_GB2312" w:hAnsi="仿宋_GB2312" w:cs="仿宋_GB2312" w:eastAsia="仿宋_GB2312"/>
                <w:sz w:val="24"/>
              </w:rPr>
              <w:t>⑤公共卫生科绩效核算及二级分配方案；</w:t>
            </w:r>
          </w:p>
          <w:p>
            <w:pPr>
              <w:pStyle w:val="null3"/>
              <w:ind w:firstLine="480"/>
              <w:jc w:val="left"/>
            </w:pPr>
            <w:r>
              <w:rPr>
                <w:rFonts w:ascii="仿宋_GB2312" w:hAnsi="仿宋_GB2312" w:cs="仿宋_GB2312" w:eastAsia="仿宋_GB2312"/>
                <w:sz w:val="24"/>
              </w:rPr>
              <w:t>(4).结构优化管理办法</w:t>
            </w:r>
          </w:p>
          <w:p>
            <w:pPr>
              <w:pStyle w:val="null3"/>
              <w:ind w:left="-435" w:firstLine="480"/>
              <w:jc w:val="both"/>
            </w:pPr>
            <w:r>
              <w:rPr>
                <w:rFonts w:ascii="仿宋_GB2312" w:hAnsi="仿宋_GB2312" w:cs="仿宋_GB2312" w:eastAsia="仿宋_GB2312"/>
                <w:sz w:val="24"/>
              </w:rPr>
              <w:t>①药品收入调控管理方法；</w:t>
            </w:r>
          </w:p>
          <w:p>
            <w:pPr>
              <w:pStyle w:val="null3"/>
              <w:ind w:left="-435" w:firstLine="480"/>
              <w:jc w:val="both"/>
            </w:pPr>
            <w:r>
              <w:rPr>
                <w:rFonts w:ascii="仿宋_GB2312" w:hAnsi="仿宋_GB2312" w:cs="仿宋_GB2312" w:eastAsia="仿宋_GB2312"/>
                <w:sz w:val="24"/>
              </w:rPr>
              <w:t>②材料收入调控管理方法；</w:t>
            </w:r>
          </w:p>
          <w:p>
            <w:pPr>
              <w:pStyle w:val="null3"/>
              <w:ind w:left="-435" w:firstLine="480"/>
              <w:jc w:val="both"/>
            </w:pPr>
            <w:r>
              <w:rPr>
                <w:rFonts w:ascii="仿宋_GB2312" w:hAnsi="仿宋_GB2312" w:cs="仿宋_GB2312" w:eastAsia="仿宋_GB2312"/>
                <w:sz w:val="24"/>
              </w:rPr>
              <w:t>③医保DIP费用调控管理方法；</w:t>
            </w:r>
          </w:p>
          <w:p>
            <w:pPr>
              <w:pStyle w:val="null3"/>
              <w:ind w:left="-435" w:firstLine="480"/>
              <w:jc w:val="both"/>
            </w:pPr>
            <w:r>
              <w:rPr>
                <w:rFonts w:ascii="仿宋_GB2312" w:hAnsi="仿宋_GB2312" w:cs="仿宋_GB2312" w:eastAsia="仿宋_GB2312"/>
                <w:sz w:val="24"/>
              </w:rPr>
              <w:t>④物资消耗调控管理方法；</w:t>
            </w:r>
          </w:p>
          <w:p>
            <w:pPr>
              <w:pStyle w:val="null3"/>
              <w:ind w:firstLine="480"/>
              <w:jc w:val="left"/>
            </w:pPr>
            <w:r>
              <w:rPr>
                <w:rFonts w:ascii="仿宋_GB2312" w:hAnsi="仿宋_GB2312" w:cs="仿宋_GB2312" w:eastAsia="仿宋_GB2312"/>
                <w:sz w:val="24"/>
              </w:rPr>
              <w:t>(5).具备目标值管理方案：</w:t>
            </w:r>
          </w:p>
          <w:p>
            <w:pPr>
              <w:pStyle w:val="null3"/>
              <w:ind w:left="-435" w:firstLine="480"/>
              <w:jc w:val="both"/>
            </w:pPr>
            <w:r>
              <w:rPr>
                <w:rFonts w:ascii="仿宋_GB2312" w:hAnsi="仿宋_GB2312" w:cs="仿宋_GB2312" w:eastAsia="仿宋_GB2312"/>
                <w:sz w:val="24"/>
              </w:rPr>
              <w:t>①院级领导目标管理方案；</w:t>
            </w:r>
          </w:p>
          <w:p>
            <w:pPr>
              <w:pStyle w:val="null3"/>
              <w:ind w:left="-435" w:firstLine="480"/>
              <w:jc w:val="both"/>
            </w:pPr>
            <w:r>
              <w:rPr>
                <w:rFonts w:ascii="仿宋_GB2312" w:hAnsi="仿宋_GB2312" w:cs="仿宋_GB2312" w:eastAsia="仿宋_GB2312"/>
                <w:sz w:val="24"/>
              </w:rPr>
              <w:t>②临床管理人员目标管理方案；</w:t>
            </w:r>
          </w:p>
          <w:p>
            <w:pPr>
              <w:pStyle w:val="null3"/>
              <w:ind w:left="-435" w:firstLine="480"/>
              <w:jc w:val="both"/>
            </w:pPr>
            <w:r>
              <w:rPr>
                <w:rFonts w:ascii="仿宋_GB2312" w:hAnsi="仿宋_GB2312" w:cs="仿宋_GB2312" w:eastAsia="仿宋_GB2312"/>
                <w:sz w:val="24"/>
              </w:rPr>
              <w:t>③医技管理人员目标管理方案；</w:t>
            </w:r>
          </w:p>
          <w:p>
            <w:pPr>
              <w:pStyle w:val="null3"/>
              <w:ind w:left="-435" w:firstLine="480"/>
              <w:jc w:val="both"/>
            </w:pPr>
            <w:r>
              <w:rPr>
                <w:rFonts w:ascii="仿宋_GB2312" w:hAnsi="仿宋_GB2312" w:cs="仿宋_GB2312" w:eastAsia="仿宋_GB2312"/>
                <w:sz w:val="24"/>
              </w:rPr>
              <w:t>④药剂管理人员目标管理方案；</w:t>
            </w:r>
          </w:p>
          <w:p>
            <w:pPr>
              <w:pStyle w:val="null3"/>
              <w:ind w:left="-435" w:firstLine="480"/>
              <w:jc w:val="both"/>
            </w:pPr>
            <w:r>
              <w:rPr>
                <w:rFonts w:ascii="仿宋_GB2312" w:hAnsi="仿宋_GB2312" w:cs="仿宋_GB2312" w:eastAsia="仿宋_GB2312"/>
                <w:sz w:val="24"/>
              </w:rPr>
              <w:t>⑤其他管理人员目标管理方案；</w:t>
            </w:r>
          </w:p>
          <w:p>
            <w:pPr>
              <w:pStyle w:val="null3"/>
              <w:ind w:firstLine="480"/>
              <w:jc w:val="both"/>
            </w:pPr>
            <w:r>
              <w:rPr>
                <w:rFonts w:ascii="仿宋_GB2312" w:hAnsi="仿宋_GB2312" w:cs="仿宋_GB2312" w:eastAsia="仿宋_GB2312"/>
                <w:sz w:val="24"/>
              </w:rPr>
              <w:t>7.绩效方案持续改进策略</w:t>
            </w:r>
          </w:p>
          <w:p>
            <w:pPr>
              <w:pStyle w:val="null3"/>
              <w:ind w:left="420" w:firstLine="480"/>
              <w:jc w:val="both"/>
            </w:pPr>
            <w:r>
              <w:rPr>
                <w:rFonts w:ascii="仿宋_GB2312" w:hAnsi="仿宋_GB2312" w:cs="仿宋_GB2312" w:eastAsia="仿宋_GB2312"/>
                <w:sz w:val="24"/>
              </w:rPr>
              <w:t>(1)医院层面：成立绩效管理委员会，定期（明确时间周期，建议服务期内每季度一次）邀请绩效咨询团队讨论分析全院绩效运行情况，解决系统性问题，调整战略导向。</w:t>
            </w:r>
          </w:p>
          <w:p>
            <w:pPr>
              <w:pStyle w:val="null3"/>
              <w:ind w:left="420" w:firstLine="480"/>
              <w:jc w:val="both"/>
            </w:pPr>
            <w:r>
              <w:rPr>
                <w:rFonts w:ascii="仿宋_GB2312" w:hAnsi="仿宋_GB2312" w:cs="仿宋_GB2312" w:eastAsia="仿宋_GB2312"/>
                <w:sz w:val="24"/>
              </w:rPr>
              <w:t>(2)科室层面：科主任召开科室绩效分析会，向全员通报结果，并重点与指标得分低的个人或小组进行面谈。</w:t>
            </w:r>
          </w:p>
          <w:p>
            <w:pPr>
              <w:pStyle w:val="null3"/>
              <w:ind w:left="420" w:firstLine="480"/>
              <w:jc w:val="both"/>
            </w:pPr>
            <w:r>
              <w:rPr>
                <w:rFonts w:ascii="仿宋_GB2312" w:hAnsi="仿宋_GB2312" w:cs="仿宋_GB2312" w:eastAsia="仿宋_GB2312"/>
                <w:sz w:val="24"/>
              </w:rPr>
              <w:t>(3)员工层面：定期进行全院员工绩效理念和制度的宣贯，新员工将绩效管理体系作为入职必修课，并建立绩效方案提案渠道，鼓励员工就绩效体系提出合理化建议。</w:t>
            </w:r>
          </w:p>
          <w:p>
            <w:pPr>
              <w:pStyle w:val="null3"/>
              <w:ind w:firstLine="480"/>
              <w:jc w:val="left"/>
            </w:pPr>
            <w:r>
              <w:rPr>
                <w:rFonts w:ascii="仿宋_GB2312" w:hAnsi="仿宋_GB2312" w:cs="仿宋_GB2312" w:eastAsia="仿宋_GB2312"/>
                <w:sz w:val="24"/>
              </w:rPr>
              <w:t>8.绩效应用管理：支持获取绩效预算控制数据，并提供绩效执行数据，实现绩效预算控制以及预警功能。支持绩效单元管理、绩效因素管理、绩效指标管理、考核评价管理、核算方案配置等。支持绩效工资核算、科室绩效分配、员工绩效分配等。</w:t>
            </w:r>
          </w:p>
          <w:p>
            <w:pPr>
              <w:pStyle w:val="null3"/>
              <w:ind w:firstLine="480"/>
              <w:jc w:val="left"/>
            </w:pPr>
            <w:r>
              <w:rPr>
                <w:rFonts w:ascii="仿宋_GB2312" w:hAnsi="仿宋_GB2312" w:cs="仿宋_GB2312" w:eastAsia="仿宋_GB2312"/>
                <w:sz w:val="24"/>
              </w:rPr>
              <w:t>9.利用信息化实现绩效方案的核算，需要实现以下功能要求：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按照绩效方案内容，绩效管理信息系统需要与医院现运行HIS系统（获取门诊、住院、手术、检查、治疗等业务量数据）、电子病历系统（获取病历质量、诊断相关数据）、财务核算系统（获取收入、成本数据）、物资供应链系统（获取药品、耗材消耗数据）、人力资源系统（获取人员档案、考勤、排班数据）等系统实现无缝对接，系统支持定时自动抽取数据，并具备数据清洗、校验和异常报警功能，确保数据源的准确性与及时性。</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2）绩效方案所需数据无法通过系统接口自动获取的数据，需开发配套的数据录入功能模块，以弥补系统接口的覆盖盲区，并明确区分自动采集与人工录入两种标识，确保绩效核算数据的全面电子化采集。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3）系统内置成本管理模块，可通过接口对接与手工录入等多种方式，完成各科室成本的归集与分摊，并精准生成成本核算数据，为收入绩效的合理计算提供关键依据。</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4）系统配备目标值管理模块，支持为各科室、医疗组等单元灵活制定绩效目标。系统将自动跟踪并计算目标达成率，生成相应的核算结果，为收入绩效的精准计算提供核心数据支撑。</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系统后台需具备强大的绩效参数配置引擎，支持操作员进行灵活便捷的自定义设置，至少包含：各科室、医疗组及岗位的绩效核算公式，各项考核指标的权重与目标值、各类专项绩效的系数标准，以此实现绩效方案的快速部署与迭代优化。</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6）系统内置自动化绩效核算引擎，能够基于预设方案，每月自动完成全院各科室、医疗组及个人的绩效精准核算。该核算引擎需具备处理复杂计算逻辑的能力，并支持设置绩效封顶值与保底线。</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7）系统具备绩效二次分配管理功能，支持为临床、医疗组、医技等科室负责人提供二次分配操作界面。科主任可在系统给定的总额和二次分配方案原则下，根据内部考核细则进行二次分配，提交后进入上级在线审批流程，从而确保全院分配方案的公平性与公正性。</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8）系统提供多维度绩效查询与分析功能，支持用户随时按科室、个人、项目及时间段等条件，快速查询绩效明细、核算过程及排名情况。通过透明的数据钻取与分析，有力支撑绩效管理的全面实现。</w:t>
            </w:r>
          </w:p>
          <w:p>
            <w:pPr>
              <w:pStyle w:val="null3"/>
              <w:jc w:val="left"/>
            </w:pPr>
            <w:r>
              <w:rPr>
                <w:rFonts w:ascii="仿宋_GB2312" w:hAnsi="仿宋_GB2312" w:cs="仿宋_GB2312" w:eastAsia="仿宋_GB2312"/>
                <w:sz w:val="24"/>
              </w:rPr>
              <w:t>（三）硬件要求</w:t>
            </w:r>
          </w:p>
          <w:p>
            <w:pPr>
              <w:pStyle w:val="null3"/>
              <w:ind w:firstLine="480"/>
              <w:jc w:val="left"/>
            </w:pPr>
            <w:r>
              <w:rPr>
                <w:rFonts w:ascii="仿宋_GB2312" w:hAnsi="仿宋_GB2312" w:cs="仿宋_GB2312" w:eastAsia="仿宋_GB2312"/>
                <w:sz w:val="24"/>
              </w:rPr>
              <w:t>电脑</w:t>
            </w:r>
            <w:r>
              <w:rPr>
                <w:rFonts w:ascii="仿宋_GB2312" w:hAnsi="仿宋_GB2312" w:cs="仿宋_GB2312" w:eastAsia="仿宋_GB2312"/>
                <w:sz w:val="24"/>
              </w:rPr>
              <w:t>4台（用于业务操作、数据提取处理、绩效核算、报表生成及系统管理维护）主流品牌台式机，显示器≥27寸，CPU≥16核，内存≥16G，系统硬盘≥480G，存储硬盘≥1T，</w:t>
            </w:r>
            <w:r>
              <w:rPr>
                <w:rFonts w:ascii="仿宋_GB2312" w:hAnsi="仿宋_GB2312" w:cs="仿宋_GB2312" w:eastAsia="仿宋_GB2312"/>
                <w:sz w:val="24"/>
              </w:rPr>
              <w:t>预装正版</w:t>
            </w:r>
            <w:r>
              <w:rPr>
                <w:rFonts w:ascii="仿宋_GB2312" w:hAnsi="仿宋_GB2312" w:cs="仿宋_GB2312" w:eastAsia="仿宋_GB2312"/>
                <w:sz w:val="24"/>
              </w:rPr>
              <w:t>win10操作系统（同时兼容国产操作系统）</w:t>
            </w:r>
            <w:r>
              <w:rPr>
                <w:rFonts w:ascii="仿宋_GB2312" w:hAnsi="仿宋_GB2312" w:cs="仿宋_GB2312" w:eastAsia="仿宋_GB2312"/>
                <w:sz w:val="24"/>
              </w:rPr>
              <w:t>；打印复印扫描黑白一体打印机</w:t>
            </w:r>
            <w:r>
              <w:rPr>
                <w:rFonts w:ascii="仿宋_GB2312" w:hAnsi="仿宋_GB2312" w:cs="仿宋_GB2312" w:eastAsia="仿宋_GB2312"/>
                <w:sz w:val="24"/>
              </w:rPr>
              <w:t>1台</w:t>
            </w:r>
            <w:r>
              <w:rPr>
                <w:rFonts w:ascii="仿宋_GB2312" w:hAnsi="仿宋_GB2312" w:cs="仿宋_GB2312" w:eastAsia="仿宋_GB2312"/>
                <w:sz w:val="24"/>
              </w:rPr>
              <w:t>。</w:t>
            </w:r>
          </w:p>
          <w:p>
            <w:pPr>
              <w:pStyle w:val="null3"/>
              <w:jc w:val="both"/>
            </w:pPr>
            <w:r>
              <w:rPr>
                <w:rFonts w:ascii="仿宋_GB2312" w:hAnsi="仿宋_GB2312" w:cs="仿宋_GB2312" w:eastAsia="仿宋_GB2312"/>
              </w:rPr>
              <w:t xml:space="preserve"> </w:t>
            </w:r>
          </w:p>
          <w:p>
            <w:pPr>
              <w:pStyle w:val="null3"/>
              <w:ind w:firstLine="960"/>
              <w:jc w:val="center"/>
            </w:pPr>
            <w:r>
              <w:rPr>
                <w:rFonts w:ascii="仿宋_GB2312" w:hAnsi="仿宋_GB2312" w:cs="仿宋_GB2312" w:eastAsia="仿宋_GB2312"/>
                <w:sz w:val="24"/>
              </w:rPr>
              <w:t>第二部分行政办公采购需求</w:t>
            </w:r>
          </w:p>
          <w:p>
            <w:pPr>
              <w:pStyle w:val="null3"/>
              <w:jc w:val="left"/>
            </w:pPr>
            <w:r>
              <w:rPr>
                <w:rFonts w:ascii="仿宋_GB2312" w:hAnsi="仿宋_GB2312" w:cs="仿宋_GB2312" w:eastAsia="仿宋_GB2312"/>
                <w:sz w:val="24"/>
              </w:rPr>
              <w:t>（一）具体要求</w:t>
            </w:r>
          </w:p>
          <w:p>
            <w:pPr>
              <w:pStyle w:val="null3"/>
              <w:ind w:firstLine="480"/>
              <w:jc w:val="left"/>
            </w:pPr>
            <w:r>
              <w:rPr>
                <w:rFonts w:ascii="仿宋_GB2312" w:hAnsi="仿宋_GB2312" w:cs="仿宋_GB2312" w:eastAsia="仿宋_GB2312"/>
                <w:sz w:val="24"/>
              </w:rPr>
              <w:t>1.文件流程管理（包含文件阅办、签发文件等）</w:t>
            </w:r>
          </w:p>
          <w:p>
            <w:pPr>
              <w:pStyle w:val="null3"/>
              <w:ind w:firstLine="480"/>
              <w:jc w:val="left"/>
            </w:pPr>
            <w:r>
              <w:rPr>
                <w:rFonts w:ascii="仿宋_GB2312" w:hAnsi="仿宋_GB2312" w:cs="仿宋_GB2312" w:eastAsia="仿宋_GB2312"/>
                <w:sz w:val="24"/>
              </w:rPr>
              <w:t>2.公文档案管理</w:t>
            </w:r>
          </w:p>
          <w:p>
            <w:pPr>
              <w:pStyle w:val="null3"/>
              <w:ind w:firstLine="480"/>
              <w:jc w:val="left"/>
            </w:pPr>
            <w:r>
              <w:rPr>
                <w:rFonts w:ascii="仿宋_GB2312" w:hAnsi="仿宋_GB2312" w:cs="仿宋_GB2312" w:eastAsia="仿宋_GB2312"/>
                <w:sz w:val="24"/>
              </w:rPr>
              <w:t>3.会议室管理</w:t>
            </w:r>
          </w:p>
          <w:p>
            <w:pPr>
              <w:pStyle w:val="null3"/>
              <w:ind w:firstLine="480"/>
              <w:jc w:val="left"/>
            </w:pPr>
            <w:r>
              <w:rPr>
                <w:rFonts w:ascii="仿宋_GB2312" w:hAnsi="仿宋_GB2312" w:cs="仿宋_GB2312" w:eastAsia="仿宋_GB2312"/>
                <w:sz w:val="24"/>
              </w:rPr>
              <w:t>4.印章管理（合同审批会签、公章使用审批）</w:t>
            </w:r>
          </w:p>
          <w:p>
            <w:pPr>
              <w:pStyle w:val="null3"/>
              <w:ind w:firstLine="480"/>
              <w:jc w:val="left"/>
            </w:pPr>
            <w:r>
              <w:rPr>
                <w:rFonts w:ascii="仿宋_GB2312" w:hAnsi="仿宋_GB2312" w:cs="仿宋_GB2312" w:eastAsia="仿宋_GB2312"/>
                <w:sz w:val="24"/>
              </w:rPr>
              <w:t>5.职工外出报备表（同时抄送人事）</w:t>
            </w:r>
          </w:p>
          <w:p>
            <w:pPr>
              <w:pStyle w:val="null3"/>
              <w:ind w:firstLine="480"/>
              <w:jc w:val="left"/>
            </w:pPr>
            <w:r>
              <w:rPr>
                <w:rFonts w:ascii="仿宋_GB2312" w:hAnsi="仿宋_GB2312" w:cs="仿宋_GB2312" w:eastAsia="仿宋_GB2312"/>
                <w:sz w:val="24"/>
              </w:rPr>
              <w:t>6.领导干部外出报备表</w:t>
            </w:r>
          </w:p>
          <w:p>
            <w:pPr>
              <w:pStyle w:val="null3"/>
              <w:ind w:firstLine="480"/>
              <w:jc w:val="left"/>
            </w:pPr>
            <w:r>
              <w:rPr>
                <w:rFonts w:ascii="仿宋_GB2312" w:hAnsi="仿宋_GB2312" w:cs="仿宋_GB2312" w:eastAsia="仿宋_GB2312"/>
                <w:sz w:val="24"/>
              </w:rPr>
              <w:t>7.公务接待管理</w:t>
            </w:r>
          </w:p>
          <w:p>
            <w:pPr>
              <w:pStyle w:val="null3"/>
              <w:ind w:firstLine="480"/>
              <w:jc w:val="left"/>
            </w:pPr>
            <w:r>
              <w:rPr>
                <w:rFonts w:ascii="仿宋_GB2312" w:hAnsi="仿宋_GB2312" w:cs="仿宋_GB2312" w:eastAsia="仿宋_GB2312"/>
                <w:sz w:val="24"/>
              </w:rPr>
              <w:t>8.速印申请单</w:t>
            </w:r>
          </w:p>
          <w:p>
            <w:pPr>
              <w:pStyle w:val="null3"/>
              <w:ind w:firstLine="480"/>
              <w:jc w:val="left"/>
            </w:pPr>
            <w:r>
              <w:rPr>
                <w:rFonts w:ascii="仿宋_GB2312" w:hAnsi="仿宋_GB2312" w:cs="仿宋_GB2312" w:eastAsia="仿宋_GB2312"/>
                <w:sz w:val="24"/>
              </w:rPr>
              <w:t>10.公务用车申请</w:t>
            </w:r>
          </w:p>
          <w:p>
            <w:pPr>
              <w:pStyle w:val="null3"/>
              <w:ind w:firstLine="480"/>
              <w:jc w:val="left"/>
            </w:pPr>
            <w:r>
              <w:rPr>
                <w:rFonts w:ascii="仿宋_GB2312" w:hAnsi="仿宋_GB2312" w:cs="仿宋_GB2312" w:eastAsia="仿宋_GB2312"/>
                <w:sz w:val="24"/>
              </w:rPr>
              <w:t>11.会议请假申请单</w:t>
            </w:r>
          </w:p>
          <w:p>
            <w:pPr>
              <w:pStyle w:val="null3"/>
              <w:ind w:firstLine="480"/>
              <w:jc w:val="left"/>
            </w:pPr>
            <w:r>
              <w:rPr>
                <w:rFonts w:ascii="仿宋_GB2312" w:hAnsi="仿宋_GB2312" w:cs="仿宋_GB2312" w:eastAsia="仿宋_GB2312"/>
                <w:sz w:val="24"/>
              </w:rPr>
              <w:t>12.医院制度废止审批表</w:t>
            </w:r>
          </w:p>
          <w:p>
            <w:pPr>
              <w:pStyle w:val="null3"/>
              <w:ind w:firstLine="480"/>
              <w:jc w:val="left"/>
            </w:pPr>
            <w:r>
              <w:rPr>
                <w:rFonts w:ascii="仿宋_GB2312" w:hAnsi="仿宋_GB2312" w:cs="仿宋_GB2312" w:eastAsia="仿宋_GB2312"/>
                <w:sz w:val="24"/>
              </w:rPr>
              <w:t>13.知识管理系统，建立统一知识库、丰富知识内容、搭建员工自助平台、完善分享机制及设置安全管控，集沉淀、共享、应用于一体的知识管理体系。</w:t>
            </w:r>
          </w:p>
          <w:p>
            <w:pPr>
              <w:pStyle w:val="null3"/>
              <w:ind w:firstLine="480"/>
              <w:jc w:val="left"/>
            </w:pPr>
            <w:r>
              <w:rPr>
                <w:rFonts w:ascii="仿宋_GB2312" w:hAnsi="仿宋_GB2312" w:cs="仿宋_GB2312" w:eastAsia="仿宋_GB2312"/>
                <w:sz w:val="24"/>
              </w:rPr>
              <w:t>14.信息发布平台，建立医院统一的信息枢纽，为全院提供一站式信息发布与管理平台，支持通知、公告、新闻、政策等内容的系统分类、审核发布，确保信息传递的及时性、权威性与可追溯性。</w:t>
            </w:r>
          </w:p>
          <w:p>
            <w:pPr>
              <w:pStyle w:val="null3"/>
              <w:ind w:firstLine="480"/>
              <w:jc w:val="left"/>
            </w:pPr>
            <w:r>
              <w:rPr>
                <w:rFonts w:ascii="仿宋_GB2312" w:hAnsi="仿宋_GB2312" w:cs="仿宋_GB2312" w:eastAsia="仿宋_GB2312"/>
                <w:sz w:val="24"/>
              </w:rPr>
              <w:t>15.文化管理中心，建立医院线上文化空间，用于展示团队风采、先进事迹、专业特色与活动成果，助力医院文化传播、团队凝聚力提升与品牌形象塑造，全面支撑医院信息流通与文化建设的协同发展。</w:t>
            </w:r>
          </w:p>
          <w:p>
            <w:pPr>
              <w:pStyle w:val="null3"/>
              <w:ind w:firstLine="480"/>
              <w:jc w:val="left"/>
            </w:pPr>
            <w:r>
              <w:rPr>
                <w:rFonts w:ascii="仿宋_GB2312" w:hAnsi="仿宋_GB2312" w:cs="仿宋_GB2312" w:eastAsia="仿宋_GB2312"/>
                <w:sz w:val="24"/>
              </w:rPr>
              <w:t>16.移动端解决方案，建立移动办公平台，深度融合公文、流程、知识、日程、考勤等移动办公场景，并通过个人中心提供个性化服务，全面提升工作效率。</w:t>
            </w:r>
          </w:p>
          <w:p>
            <w:pPr>
              <w:pStyle w:val="null3"/>
              <w:jc w:val="left"/>
            </w:pPr>
            <w:r>
              <w:rPr>
                <w:rFonts w:ascii="仿宋_GB2312" w:hAnsi="仿宋_GB2312" w:cs="仿宋_GB2312" w:eastAsia="仿宋_GB2312"/>
                <w:sz w:val="24"/>
              </w:rPr>
              <w:t>（二）硬件要求</w:t>
            </w:r>
          </w:p>
          <w:p>
            <w:pPr>
              <w:pStyle w:val="null3"/>
              <w:ind w:firstLine="480"/>
              <w:jc w:val="left"/>
            </w:pPr>
            <w:r>
              <w:rPr>
                <w:rFonts w:ascii="仿宋_GB2312" w:hAnsi="仿宋_GB2312" w:cs="仿宋_GB2312" w:eastAsia="仿宋_GB2312"/>
                <w:sz w:val="24"/>
              </w:rPr>
              <w:t>高拍仪</w:t>
            </w:r>
            <w:r>
              <w:rPr>
                <w:rFonts w:ascii="仿宋_GB2312" w:hAnsi="仿宋_GB2312" w:cs="仿宋_GB2312" w:eastAsia="仿宋_GB2312"/>
                <w:sz w:val="24"/>
              </w:rPr>
              <w:t>1台（1000万像素以上，支持自动对焦与LED补光，用于员工档案资料的快速电子化扫描与存档）；电脑2台（用于人事业务操作、数据录入处理、报表生成及系统管理维护）主流品牌台式机，显示器≥27寸，CPU≥16核，内存≥16G，系统硬盘≥480G，存储硬盘≥1T，预装正版win10操作系统（同时兼容国产操作系统）；打印复印扫描黑白一体打印机1台</w:t>
            </w:r>
          </w:p>
          <w:p>
            <w:pPr>
              <w:pStyle w:val="null3"/>
              <w:jc w:val="both"/>
            </w:pPr>
            <w:r>
              <w:rPr>
                <w:rFonts w:ascii="仿宋_GB2312" w:hAnsi="仿宋_GB2312" w:cs="仿宋_GB2312" w:eastAsia="仿宋_GB2312"/>
              </w:rPr>
              <w:t xml:space="preserve"> </w:t>
            </w:r>
          </w:p>
          <w:p>
            <w:pPr>
              <w:pStyle w:val="null3"/>
              <w:ind w:firstLine="960"/>
              <w:jc w:val="center"/>
            </w:pPr>
            <w:r>
              <w:rPr>
                <w:rFonts w:ascii="仿宋_GB2312" w:hAnsi="仿宋_GB2312" w:cs="仿宋_GB2312" w:eastAsia="仿宋_GB2312"/>
                <w:sz w:val="24"/>
              </w:rPr>
              <w:t>第三部分人事信息管理模块采购需求</w:t>
            </w:r>
          </w:p>
          <w:p>
            <w:pPr>
              <w:pStyle w:val="null3"/>
              <w:jc w:val="left"/>
            </w:pPr>
            <w:r>
              <w:rPr>
                <w:rFonts w:ascii="仿宋_GB2312" w:hAnsi="仿宋_GB2312" w:cs="仿宋_GB2312" w:eastAsia="仿宋_GB2312"/>
                <w:sz w:val="24"/>
              </w:rPr>
              <w:t>（一）信息化软件（为保障软件开发成果的合法权益，需在项目交付前完成软件著作权登记，获取软著证）</w:t>
            </w:r>
          </w:p>
          <w:p>
            <w:pPr>
              <w:pStyle w:val="null3"/>
              <w:ind w:firstLine="480"/>
              <w:jc w:val="left"/>
            </w:pPr>
            <w:r>
              <w:rPr>
                <w:rFonts w:ascii="仿宋_GB2312" w:hAnsi="仿宋_GB2312" w:cs="仿宋_GB2312" w:eastAsia="仿宋_GB2312"/>
                <w:sz w:val="24"/>
              </w:rPr>
              <w:t>1.组织管理模块</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1）支持医院组织架构可视化展示，科室拆分、合并等调整时自动更新架构图。</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2）统计各部门人员数量、层级分布等数据，生成权限分级可视化报表，留存组织架构及人员历史沿革数据，支持与医院其他平台数据同步。</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3）设置各部门权限范围，关联后续人事业务权限分配。</w:t>
            </w:r>
          </w:p>
          <w:p>
            <w:pPr>
              <w:pStyle w:val="null3"/>
              <w:ind w:firstLine="480"/>
              <w:jc w:val="left"/>
            </w:pPr>
            <w:r>
              <w:rPr>
                <w:rFonts w:ascii="仿宋_GB2312" w:hAnsi="仿宋_GB2312" w:cs="仿宋_GB2312" w:eastAsia="仿宋_GB2312"/>
                <w:sz w:val="24"/>
              </w:rPr>
              <w:t>2.支持虚拟组织、临时机构等多组织的灵活创建，满足日常应急处置团队组织建设；</w:t>
            </w:r>
          </w:p>
          <w:p>
            <w:pPr>
              <w:pStyle w:val="null3"/>
              <w:ind w:firstLine="480"/>
              <w:jc w:val="left"/>
            </w:pPr>
            <w:r>
              <w:rPr>
                <w:rFonts w:ascii="仿宋_GB2312" w:hAnsi="仿宋_GB2312" w:cs="仿宋_GB2312" w:eastAsia="仿宋_GB2312"/>
                <w:sz w:val="24"/>
              </w:rPr>
              <w:t>3.岗职管理模块</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1）支持构建部门职位体系，录入、查询各岗位的职责描述、任职要求、协作关系、岗位等级等信息，生成职位说明书与职位体系图。</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2）管理医院总编制、岗位编制，显示各岗位编制数、现有人员数，实时展示各岗位编制数与现有人员数，超缺编自动预警。岗位聘任分类录入、统计、应聘未聘等。</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3）支持编制及岗位调整时，快速更新信息并同步至薪酬、考勤等相关流程。</w:t>
            </w:r>
          </w:p>
          <w:p>
            <w:pPr>
              <w:pStyle w:val="null3"/>
              <w:ind w:firstLine="480"/>
              <w:jc w:val="left"/>
            </w:pPr>
            <w:r>
              <w:rPr>
                <w:rFonts w:ascii="仿宋_GB2312" w:hAnsi="仿宋_GB2312" w:cs="仿宋_GB2312" w:eastAsia="仿宋_GB2312"/>
                <w:sz w:val="24"/>
              </w:rPr>
              <w:t>4.人事管理模块</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支持员工全生命周期（入职、在职、离职、退休、返聘）电子化管理，记录基本信息（学历、职称、职务、年龄、科室、入职时间等）、资质证件、奖惩记录、年度考核、职称信息，以及外出学习、培训、进修情况（含培训时间段、时长、学习内容、地点等），支持批量导入、导出及修改留痕。</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支持多用工类别管理需求，按部门、学历、职称、年龄、岗位、用工形式（在编、合同工、返聘、退休、规培等）查询、筛选人员信息并分类管理，针对医生、护理、行政等人员实施差异化信息维护，生成总体及各类人员信息统计表。</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支持人员异动（晋升、借调、轮岗等）处理，异动数据可参数化关联薪资福利配置；结合员工外出学习、培训、进修经历及资质证件、考核情况，提供员工成长分析功能，追踪不同培养阶段的发展数据，支撑人才培育决策。</w:t>
            </w:r>
          </w:p>
          <w:p>
            <w:pPr>
              <w:pStyle w:val="null3"/>
              <w:ind w:firstLine="480"/>
              <w:jc w:val="left"/>
            </w:pPr>
            <w:r>
              <w:rPr>
                <w:rFonts w:ascii="仿宋_GB2312" w:hAnsi="仿宋_GB2312" w:cs="仿宋_GB2312" w:eastAsia="仿宋_GB2312"/>
                <w:sz w:val="24"/>
              </w:rPr>
              <w:t>5.劳动合同管理模块</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1）支持覆盖劳动合同、派遣协议、培训协议等各类合同全生命周期管理，提供标准化模板与打印功能。</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2）自动记录合同签订、续签、变更、终止等状态，合同到期前30天触发预警提醒。</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3）实现人员变动与合同业务、薪酬核定的自动关联，合同文件线上存档，支持授权查询与统计。</w:t>
            </w:r>
          </w:p>
          <w:p>
            <w:pPr>
              <w:pStyle w:val="null3"/>
              <w:ind w:firstLine="480"/>
              <w:jc w:val="left"/>
            </w:pPr>
            <w:r>
              <w:rPr>
                <w:rFonts w:ascii="仿宋_GB2312" w:hAnsi="仿宋_GB2312" w:cs="仿宋_GB2312" w:eastAsia="仿宋_GB2312"/>
                <w:sz w:val="24"/>
              </w:rPr>
              <w:t>6.考勤管理模块</w:t>
            </w:r>
          </w:p>
          <w:p>
            <w:pPr>
              <w:pStyle w:val="null3"/>
              <w:ind w:firstLine="640"/>
              <w:jc w:val="left"/>
            </w:pPr>
            <w:r>
              <w:rPr>
                <w:rFonts w:ascii="仿宋_GB2312" w:hAnsi="仿宋_GB2312" w:cs="仿宋_GB2312" w:eastAsia="仿宋_GB2312"/>
                <w:sz w:val="24"/>
              </w:rPr>
              <w:t>（</w:t>
            </w:r>
            <w:r>
              <w:rPr>
                <w:rFonts w:ascii="仿宋_GB2312" w:hAnsi="仿宋_GB2312" w:cs="仿宋_GB2312" w:eastAsia="仿宋_GB2312"/>
                <w:sz w:val="24"/>
              </w:rPr>
              <w:t>1）支持对接考勤设备，自动同步员工打卡、迟到早退、请假等数据，适配不同岗位出勤类型；</w:t>
            </w:r>
          </w:p>
          <w:p>
            <w:pPr>
              <w:pStyle w:val="null3"/>
              <w:ind w:firstLine="640"/>
              <w:jc w:val="left"/>
            </w:pPr>
            <w:r>
              <w:rPr>
                <w:rFonts w:ascii="仿宋_GB2312" w:hAnsi="仿宋_GB2312" w:cs="仿宋_GB2312" w:eastAsia="仿宋_GB2312"/>
                <w:sz w:val="24"/>
              </w:rPr>
              <w:t>（</w:t>
            </w:r>
            <w:r>
              <w:rPr>
                <w:rFonts w:ascii="仿宋_GB2312" w:hAnsi="仿宋_GB2312" w:cs="仿宋_GB2312" w:eastAsia="仿宋_GB2312"/>
                <w:sz w:val="24"/>
              </w:rPr>
              <w:t>2）支持线上处理考勤异常，实现病假、产假、年休假等各类假期的线上申请、审批与销假管理。</w:t>
            </w:r>
          </w:p>
          <w:p>
            <w:pPr>
              <w:pStyle w:val="null3"/>
              <w:ind w:firstLine="640"/>
              <w:jc w:val="left"/>
            </w:pPr>
            <w:r>
              <w:rPr>
                <w:rFonts w:ascii="仿宋_GB2312" w:hAnsi="仿宋_GB2312" w:cs="仿宋_GB2312" w:eastAsia="仿宋_GB2312"/>
                <w:sz w:val="24"/>
              </w:rPr>
              <w:t>（</w:t>
            </w:r>
            <w:r>
              <w:rPr>
                <w:rFonts w:ascii="仿宋_GB2312" w:hAnsi="仿宋_GB2312" w:cs="仿宋_GB2312" w:eastAsia="仿宋_GB2312"/>
                <w:sz w:val="24"/>
              </w:rPr>
              <w:t>3）关联工作年限等信息，自动核算分配员工年休假应休额度、实休、剩余额度记录。</w:t>
            </w:r>
          </w:p>
          <w:p>
            <w:pPr>
              <w:pStyle w:val="null3"/>
              <w:ind w:firstLine="640"/>
              <w:jc w:val="left"/>
            </w:pPr>
            <w:r>
              <w:rPr>
                <w:rFonts w:ascii="仿宋_GB2312" w:hAnsi="仿宋_GB2312" w:cs="仿宋_GB2312" w:eastAsia="仿宋_GB2312"/>
                <w:sz w:val="24"/>
              </w:rPr>
              <w:t>（</w:t>
            </w:r>
            <w:r>
              <w:rPr>
                <w:rFonts w:ascii="仿宋_GB2312" w:hAnsi="仿宋_GB2312" w:cs="仿宋_GB2312" w:eastAsia="仿宋_GB2312"/>
                <w:sz w:val="24"/>
              </w:rPr>
              <w:t>4）生成日、周、月考勤报表，统计出勤、缺勤、假期使用等情况，作为薪酬计算、绩效考核等工作的依据。</w:t>
            </w:r>
          </w:p>
          <w:p>
            <w:pPr>
              <w:pStyle w:val="null3"/>
              <w:ind w:firstLine="480"/>
              <w:jc w:val="left"/>
            </w:pPr>
            <w:r>
              <w:rPr>
                <w:rFonts w:ascii="仿宋_GB2312" w:hAnsi="仿宋_GB2312" w:cs="仿宋_GB2312" w:eastAsia="仿宋_GB2312"/>
                <w:sz w:val="24"/>
              </w:rPr>
              <w:t>7.薪酬管理模块</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1）支持内置岗位工资、薪级工资标准与套改政策查询功能，支持建立多套薪资核算方案，适配不同人员类别。</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2）自动关联考勤、绩效等数据核算薪资，包含基本工资、绩效奖金、补贴、社保公积金扣款等项目，生成工资表。</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3）实现社保、养老等从开户到清算的全流程管理，薪资数据同步至财务系统。</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4）生成部门薪酬总额、人均薪酬等统计报表，支持结构分析与趋势分析。</w:t>
            </w:r>
          </w:p>
          <w:p>
            <w:pPr>
              <w:pStyle w:val="null3"/>
              <w:ind w:firstLine="480"/>
              <w:jc w:val="left"/>
            </w:pPr>
            <w:r>
              <w:rPr>
                <w:rFonts w:ascii="仿宋_GB2312" w:hAnsi="仿宋_GB2312" w:cs="仿宋_GB2312" w:eastAsia="仿宋_GB2312"/>
                <w:sz w:val="24"/>
              </w:rPr>
              <w:t>8.培训管理模块</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1）支持线上收集员工培训需求，人事科汇总分析。</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2）制定并发布培训计划（主题、时间、讲师等），员工线上报名。</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3）记录员工培训考勤、考核结果，关联成长档案，数据分级可视。</w:t>
            </w:r>
          </w:p>
          <w:p>
            <w:pPr>
              <w:pStyle w:val="null3"/>
              <w:ind w:firstLine="480"/>
              <w:jc w:val="left"/>
            </w:pPr>
            <w:r>
              <w:rPr>
                <w:rFonts w:ascii="仿宋_GB2312" w:hAnsi="仿宋_GB2312" w:cs="仿宋_GB2312" w:eastAsia="仿宋_GB2312"/>
                <w:sz w:val="24"/>
              </w:rPr>
              <w:t>9.报表、台账管理模块</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1）支持生成月度、季度、年度人事统计报表，涵盖人员结构、考勤情况、薪酬分析、招聘进度等维度。</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支持提供年龄、职称、学历、性别等专项结构分析功能，生成多维度人事报表及管理台账（全院人员信息总统计、人员分类统计、岗位聘任、薪酬管理、职称信息、人员异动、劳动合同、档案管理等），可生成卫生健康行政部门要求的标准化报表。</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3）自定义报表格式、筛选条件，支持导出为Excel、PDF等格式。</w:t>
            </w:r>
          </w:p>
          <w:p>
            <w:pPr>
              <w:pStyle w:val="null3"/>
              <w:ind w:firstLine="480"/>
              <w:jc w:val="left"/>
            </w:pPr>
            <w:r>
              <w:rPr>
                <w:rFonts w:ascii="仿宋_GB2312" w:hAnsi="仿宋_GB2312" w:cs="仿宋_GB2312" w:eastAsia="仿宋_GB2312"/>
                <w:sz w:val="24"/>
              </w:rPr>
              <w:t>10.员工自助管理模块</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支持员工可查询个人考勤明细、休假额度、薪资明细、培训记录等信息，下载在职证明等材料。（2）支持线上提交请假、调休、转正申请等业务，查看流程审批进度，接收预警通知。（3）允许员工维护个人联系方式、紧急联系人等基础信息，提交后经人事审核生效。</w:t>
            </w:r>
          </w:p>
          <w:p>
            <w:pPr>
              <w:pStyle w:val="null3"/>
              <w:jc w:val="left"/>
            </w:pPr>
            <w:r>
              <w:rPr>
                <w:rFonts w:ascii="仿宋_GB2312" w:hAnsi="仿宋_GB2312" w:cs="仿宋_GB2312" w:eastAsia="仿宋_GB2312"/>
                <w:sz w:val="24"/>
              </w:rPr>
              <w:t>（二）系统对接与实施要求</w:t>
            </w:r>
          </w:p>
          <w:p>
            <w:pPr>
              <w:pStyle w:val="null3"/>
              <w:ind w:firstLine="480"/>
              <w:jc w:val="left"/>
            </w:pPr>
            <w:r>
              <w:rPr>
                <w:rFonts w:ascii="仿宋_GB2312" w:hAnsi="仿宋_GB2312" w:cs="仿宋_GB2312" w:eastAsia="仿宋_GB2312"/>
                <w:sz w:val="24"/>
              </w:rPr>
              <w:t>1.支持PC端与移动端适配，员工可通过软件终端或钉钉实现单点登录，提升操作便捷性。</w:t>
            </w:r>
          </w:p>
          <w:p>
            <w:pPr>
              <w:pStyle w:val="null3"/>
              <w:ind w:firstLine="480"/>
              <w:jc w:val="left"/>
            </w:pPr>
            <w:r>
              <w:rPr>
                <w:rFonts w:ascii="仿宋_GB2312" w:hAnsi="仿宋_GB2312" w:cs="仿宋_GB2312" w:eastAsia="仿宋_GB2312"/>
                <w:sz w:val="24"/>
              </w:rPr>
              <w:t>2.人事数据具有敏感性和保密性，系统需采用角色-权限分级控制机制，设置访问及连接权限，限制敏感数据查看范围。</w:t>
            </w:r>
          </w:p>
          <w:p>
            <w:pPr>
              <w:pStyle w:val="null3"/>
              <w:ind w:firstLine="480"/>
              <w:jc w:val="left"/>
            </w:pPr>
            <w:r>
              <w:rPr>
                <w:rFonts w:ascii="仿宋_GB2312" w:hAnsi="仿宋_GB2312" w:cs="仿宋_GB2312" w:eastAsia="仿宋_GB2312"/>
                <w:sz w:val="24"/>
              </w:rPr>
              <w:t>3.建立完善的操作日志体系，对数据录入、修改、查询等行为全程留痕，便于追溯。</w:t>
            </w:r>
          </w:p>
          <w:p>
            <w:pPr>
              <w:pStyle w:val="null3"/>
              <w:ind w:firstLine="480"/>
              <w:jc w:val="left"/>
            </w:pPr>
            <w:r>
              <w:rPr>
                <w:rFonts w:ascii="仿宋_GB2312" w:hAnsi="仿宋_GB2312" w:cs="仿宋_GB2312" w:eastAsia="仿宋_GB2312"/>
                <w:sz w:val="24"/>
              </w:rPr>
              <w:t>4.具备数据备份与恢复功能，定期自动备份核心数据，保障数据安全。</w:t>
            </w:r>
          </w:p>
          <w:p>
            <w:pPr>
              <w:pStyle w:val="null3"/>
              <w:ind w:firstLine="480"/>
              <w:jc w:val="left"/>
            </w:pPr>
            <w:r>
              <w:rPr>
                <w:rFonts w:ascii="仿宋_GB2312" w:hAnsi="仿宋_GB2312" w:cs="仿宋_GB2312" w:eastAsia="仿宋_GB2312"/>
                <w:sz w:val="24"/>
              </w:rPr>
              <w:t>5.系统三员管理权限限制。</w:t>
            </w:r>
          </w:p>
          <w:p>
            <w:pPr>
              <w:pStyle w:val="null3"/>
              <w:jc w:val="center"/>
            </w:pPr>
            <w:r>
              <w:rPr>
                <w:rFonts w:ascii="仿宋_GB2312" w:hAnsi="仿宋_GB2312" w:cs="仿宋_GB2312" w:eastAsia="仿宋_GB2312"/>
                <w:sz w:val="24"/>
              </w:rPr>
              <w:t>第四部分物资耗材管理系统采购需求</w:t>
            </w:r>
          </w:p>
          <w:p>
            <w:pPr>
              <w:pStyle w:val="null3"/>
              <w:ind w:firstLine="480"/>
              <w:jc w:val="left"/>
            </w:pPr>
            <w:r>
              <w:rPr>
                <w:rFonts w:ascii="仿宋_GB2312" w:hAnsi="仿宋_GB2312" w:cs="仿宋_GB2312" w:eastAsia="仿宋_GB2312"/>
                <w:sz w:val="24"/>
              </w:rPr>
              <w:t>耗材物资（医用耗材部分）与总务物资（办公用品、维护配件）分别建设。</w:t>
            </w:r>
          </w:p>
          <w:p>
            <w:pPr>
              <w:pStyle w:val="null3"/>
              <w:jc w:val="left"/>
            </w:pPr>
            <w:r>
              <w:rPr>
                <w:rFonts w:ascii="仿宋_GB2312" w:hAnsi="仿宋_GB2312" w:cs="仿宋_GB2312" w:eastAsia="仿宋_GB2312"/>
                <w:sz w:val="24"/>
              </w:rPr>
              <w:t>（一）开通内网内系统全院互通功能，主要实现：</w:t>
            </w:r>
          </w:p>
          <w:p>
            <w:pPr>
              <w:pStyle w:val="null3"/>
              <w:ind w:firstLine="480"/>
              <w:jc w:val="left"/>
            </w:pPr>
            <w:r>
              <w:rPr>
                <w:rFonts w:ascii="仿宋_GB2312" w:hAnsi="仿宋_GB2312" w:cs="仿宋_GB2312" w:eastAsia="仿宋_GB2312"/>
                <w:sz w:val="24"/>
              </w:rPr>
              <w:t>1.物资目录库链接共享使用。全院各科室拟使用耗材、试剂项目，以在用物资目录库为准，有则正常申请、使用，目录库没有的申请准入、招采、议价，入目录库后使用，并可实现物资一次性耗材、低值易耗品、固定资产自动分类。</w:t>
            </w:r>
          </w:p>
          <w:p>
            <w:pPr>
              <w:pStyle w:val="null3"/>
              <w:ind w:firstLine="480"/>
              <w:jc w:val="left"/>
            </w:pPr>
            <w:r>
              <w:rPr>
                <w:rFonts w:ascii="仿宋_GB2312" w:hAnsi="仿宋_GB2312" w:cs="仿宋_GB2312" w:eastAsia="仿宋_GB2312"/>
                <w:sz w:val="24"/>
              </w:rPr>
              <w:t>2.系统内无纸化计划申请。各科室在系统内利用目录库制定需求计划，填写库存余量，根据业务需求、科室需求发起领用申请单，包括物资编码、名称、规格、数量、单价、金额、预计领用时间等。可实现物资管理标准化、实现系统内逐级审批，设备科可在系统内实现各科室库存物资余量监管，根据实际使用情况进行调节，真正实现无纸化办公。</w:t>
            </w:r>
          </w:p>
          <w:p>
            <w:pPr>
              <w:pStyle w:val="null3"/>
              <w:jc w:val="left"/>
            </w:pPr>
            <w:r>
              <w:rPr>
                <w:rFonts w:ascii="仿宋_GB2312" w:hAnsi="仿宋_GB2312" w:cs="仿宋_GB2312" w:eastAsia="仿宋_GB2312"/>
                <w:sz w:val="24"/>
              </w:rPr>
              <w:t>（二）逐步实现内、外网互通功能，主要实现：</w:t>
            </w:r>
          </w:p>
          <w:p>
            <w:pPr>
              <w:pStyle w:val="null3"/>
              <w:ind w:firstLine="480"/>
              <w:jc w:val="left"/>
            </w:pPr>
            <w:r>
              <w:rPr>
                <w:rFonts w:ascii="仿宋_GB2312" w:hAnsi="仿宋_GB2312" w:cs="仿宋_GB2312" w:eastAsia="仿宋_GB2312"/>
                <w:sz w:val="24"/>
              </w:rPr>
              <w:t>1、供应商协同支持医院采购订单下达、购订单接收、入库电子票据信息共享等业务。</w:t>
            </w:r>
          </w:p>
          <w:p>
            <w:pPr>
              <w:pStyle w:val="null3"/>
              <w:ind w:firstLine="480"/>
              <w:jc w:val="left"/>
            </w:pPr>
            <w:r>
              <w:rPr>
                <w:rFonts w:ascii="仿宋_GB2312" w:hAnsi="仿宋_GB2312" w:cs="仿宋_GB2312" w:eastAsia="仿宋_GB2312"/>
                <w:sz w:val="24"/>
              </w:rPr>
              <w:t>2、便于供应商价格管理，及时了解采购价格波动，实时控制采购价格等。</w:t>
            </w:r>
          </w:p>
          <w:p>
            <w:pPr>
              <w:pStyle w:val="null3"/>
              <w:ind w:firstLine="480"/>
              <w:jc w:val="left"/>
            </w:pPr>
            <w:r>
              <w:rPr>
                <w:rFonts w:ascii="仿宋_GB2312" w:hAnsi="仿宋_GB2312" w:cs="仿宋_GB2312" w:eastAsia="仿宋_GB2312"/>
                <w:sz w:val="24"/>
              </w:rPr>
              <w:t>3.耗材物资功能需求：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供应商协同与资质管理，建立供应商电子档案，支持资质证照自动OCR识别（含OCR识别硬件）与审核，自动预警资质到期。支持使用电子模板标准化合同流程，支持价格谈判记录上传，合同有效期与采购订单联动校验。</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采购管理，采购订单涵盖集中、临时、紧急等多种采购模式，支持科室在线提交、管理科室审核、订单状态实时同步。支持按字典、历史计划、库存需求等生成采购计划，可实现一键推送采购平台。以供应商为维度查看采购进度，支持明细查询、汇总分析和科室执行情况追踪。</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3）物资基础数据管理，全面维护物资基本信息、收费、网采、历史变更、图片及合同文档，支持与供应商平台数据交互，支持调价审核、记录追溯、收费对照管理和HIS收费目录接口同步。</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库房运营管理，支持手工入库、扫码整单入库、快速入库与直出操作，可记录效期与冷链信息。支持科室请领、计划出库及退库、退货流程，具备审核与单据打印功能。支持盘点计划制定、盘盈盘亏处理与库存报废，可生成各类盘点报表。直入直出：针对特定耗材实现快速一次性出入库，提高效率。</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5）财务对接与核算，支持入库单与发票关联记账，具备审核机制，可按公司追踪采购明细。提供财务报表，包括库存变动、入库/出库汇总（按科目、供应商、科室）等统计功能。</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6）查询与统计报表，支持入库、出库、退货、退库等业务的多条件组合查询与Excel导出。支持一、二级库库存按库房、物资、分类等维度查询，可查看效期与批次信息。实时追踪各科室采购计划申报与执行状态。</w:t>
            </w:r>
          </w:p>
          <w:p>
            <w:pPr>
              <w:pStyle w:val="null3"/>
              <w:jc w:val="left"/>
            </w:pPr>
            <w:r>
              <w:rPr>
                <w:rFonts w:ascii="仿宋_GB2312" w:hAnsi="仿宋_GB2312" w:cs="仿宋_GB2312" w:eastAsia="仿宋_GB2312"/>
                <w:sz w:val="24"/>
              </w:rPr>
              <w:t>（三）总务库房管理（单列总务物资需求）</w:t>
            </w:r>
          </w:p>
          <w:p>
            <w:pPr>
              <w:pStyle w:val="null3"/>
              <w:ind w:firstLine="480"/>
              <w:jc w:val="left"/>
            </w:pPr>
            <w:r>
              <w:rPr>
                <w:rFonts w:ascii="仿宋_GB2312" w:hAnsi="仿宋_GB2312" w:cs="仿宋_GB2312" w:eastAsia="仿宋_GB2312"/>
                <w:sz w:val="24"/>
              </w:rPr>
              <w:t>1.支持基础信息维护，按照供应商、物资、领用科室、领用申请人、时间等多维度设置与维护。支持医院内部物资的目录维护，包括物资编码、名称、种类、规格、供应商、批次、价格等基本信息。支持库房信息、领用申请人权限管理、审批设置等。支持领用申请人根据业务需求、科室需求发起，填写领用申请单，包括物资编码、名称、规格、数量、单价、金额、预计领用时间等。支持领用申请查询、出库查询等。</w:t>
            </w:r>
          </w:p>
          <w:p>
            <w:pPr>
              <w:pStyle w:val="null3"/>
              <w:ind w:firstLine="480"/>
              <w:jc w:val="left"/>
            </w:pPr>
            <w:r>
              <w:rPr>
                <w:rFonts w:ascii="仿宋_GB2312" w:hAnsi="仿宋_GB2312" w:cs="仿宋_GB2312" w:eastAsia="仿宋_GB2312"/>
                <w:sz w:val="24"/>
              </w:rPr>
              <w:t>2.支持入库管理，包括物资编码、名称、规格、数量、单价、金额、存放地点等。支持出库管理，包括物资编码、名称、规格、数量、单价、金额、存放地点等。支持库存管理，包括批次管理、有效期管理、库存预警管理。</w:t>
            </w:r>
          </w:p>
          <w:p>
            <w:pPr>
              <w:pStyle w:val="null3"/>
              <w:ind w:firstLine="480"/>
              <w:jc w:val="left"/>
            </w:pPr>
            <w:r>
              <w:rPr>
                <w:rFonts w:ascii="仿宋_GB2312" w:hAnsi="仿宋_GB2312" w:cs="仿宋_GB2312" w:eastAsia="仿宋_GB2312"/>
                <w:sz w:val="24"/>
              </w:rPr>
              <w:t>3.支持物资盘点，可生成损耗单，损耗物品的库存数量、结存均价、结存金额等自动发生相应变化。</w:t>
            </w:r>
          </w:p>
          <w:p>
            <w:pPr>
              <w:pStyle w:val="null3"/>
              <w:ind w:firstLine="480"/>
              <w:jc w:val="left"/>
            </w:pPr>
            <w:r>
              <w:rPr>
                <w:rFonts w:ascii="仿宋_GB2312" w:hAnsi="仿宋_GB2312" w:cs="仿宋_GB2312" w:eastAsia="仿宋_GB2312"/>
                <w:sz w:val="24"/>
              </w:rPr>
              <w:t>4.物资采购进销存管理。</w:t>
            </w:r>
          </w:p>
          <w:p>
            <w:pPr>
              <w:pStyle w:val="null3"/>
              <w:jc w:val="both"/>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4"/>
              </w:rPr>
              <w:t>第五部分门诊开展远程问诊功能需求</w:t>
            </w:r>
          </w:p>
          <w:p>
            <w:pPr>
              <w:pStyle w:val="null3"/>
              <w:ind w:firstLine="480"/>
              <w:jc w:val="left"/>
            </w:pPr>
            <w:r>
              <w:rPr>
                <w:rFonts w:ascii="仿宋_GB2312" w:hAnsi="仿宋_GB2312" w:cs="仿宋_GB2312" w:eastAsia="仿宋_GB2312"/>
                <w:sz w:val="24"/>
              </w:rPr>
              <w:t>1.此系统镶嵌于本院网上挂号系统中，实现与上级医院的视频问诊功能。</w:t>
            </w:r>
          </w:p>
          <w:p>
            <w:pPr>
              <w:pStyle w:val="null3"/>
              <w:ind w:firstLine="480"/>
              <w:jc w:val="left"/>
            </w:pPr>
            <w:r>
              <w:rPr>
                <w:rFonts w:ascii="仿宋_GB2312" w:hAnsi="仿宋_GB2312" w:cs="仿宋_GB2312" w:eastAsia="仿宋_GB2312"/>
                <w:sz w:val="24"/>
              </w:rPr>
              <w:t>2.互联网医院排班电脑1台，主流品牌台式机，显示器≥27寸，CPU≥16核，内存≥16G，系统硬盘≥480G，存储硬盘≥1T，预装正版win10操作系统（同时兼容国产操作系统）。</w:t>
            </w:r>
          </w:p>
          <w:p>
            <w:pPr>
              <w:pStyle w:val="null3"/>
              <w:jc w:val="left"/>
            </w:pPr>
            <w:r>
              <w:rPr>
                <w:rFonts w:ascii="仿宋_GB2312" w:hAnsi="仿宋_GB2312" w:cs="仿宋_GB2312" w:eastAsia="仿宋_GB2312"/>
                <w:sz w:val="24"/>
              </w:rPr>
              <w:t>（一）远程会诊系统采购需求</w:t>
            </w:r>
          </w:p>
          <w:p>
            <w:pPr>
              <w:pStyle w:val="null3"/>
              <w:jc w:val="left"/>
            </w:pPr>
            <w:r>
              <w:rPr>
                <w:rFonts w:ascii="仿宋_GB2312" w:hAnsi="仿宋_GB2312" w:cs="仿宋_GB2312" w:eastAsia="仿宋_GB2312"/>
                <w:sz w:val="24"/>
              </w:rPr>
              <w:t>PC端功能需求：</w:t>
            </w:r>
          </w:p>
          <w:p>
            <w:pPr>
              <w:pStyle w:val="null3"/>
              <w:ind w:firstLine="480"/>
              <w:jc w:val="left"/>
            </w:pPr>
            <w:r>
              <w:rPr>
                <w:rFonts w:ascii="仿宋_GB2312" w:hAnsi="仿宋_GB2312" w:cs="仿宋_GB2312" w:eastAsia="仿宋_GB2312"/>
                <w:sz w:val="24"/>
              </w:rPr>
              <w:t>1.系统管理与基础配置功能</w:t>
            </w:r>
          </w:p>
          <w:p>
            <w:pPr>
              <w:pStyle w:val="null3"/>
              <w:ind w:firstLine="480"/>
              <w:jc w:val="left"/>
            </w:pPr>
            <w:r>
              <w:rPr>
                <w:rFonts w:ascii="仿宋_GB2312" w:hAnsi="仿宋_GB2312" w:cs="仿宋_GB2312" w:eastAsia="仿宋_GB2312"/>
                <w:sz w:val="24"/>
              </w:rPr>
              <w:t>通过系统接口自动同步医院现有的用户和科室信息，实现统一数据源管理。可精细化配置不同用户（如医生、管理员）对系统功能的访问和操作权限。</w:t>
            </w:r>
          </w:p>
          <w:p>
            <w:pPr>
              <w:pStyle w:val="null3"/>
              <w:ind w:firstLine="480"/>
              <w:jc w:val="left"/>
            </w:pPr>
            <w:r>
              <w:rPr>
                <w:rFonts w:ascii="仿宋_GB2312" w:hAnsi="仿宋_GB2312" w:cs="仿宋_GB2312" w:eastAsia="仿宋_GB2312"/>
                <w:sz w:val="24"/>
              </w:rPr>
              <w:t>具备集中的消息管理功能，用于发送和接收各类系统通知。</w:t>
            </w:r>
            <w:r>
              <w:rPr>
                <w:rFonts w:ascii="仿宋_GB2312" w:hAnsi="仿宋_GB2312" w:cs="仿宋_GB2312" w:eastAsia="仿宋_GB2312"/>
                <w:sz w:val="24"/>
              </w:rPr>
              <w:t>2.核心资源管理（专家与患者）</w:t>
            </w:r>
          </w:p>
          <w:p>
            <w:pPr>
              <w:pStyle w:val="null3"/>
              <w:ind w:firstLine="480"/>
              <w:jc w:val="left"/>
            </w:pPr>
            <w:r>
              <w:rPr>
                <w:rFonts w:ascii="仿宋_GB2312" w:hAnsi="仿宋_GB2312" w:cs="仿宋_GB2312" w:eastAsia="仿宋_GB2312"/>
                <w:sz w:val="24"/>
              </w:rPr>
              <w:t>可按医院、科室、专业领域对专家进行分类。支持专家信息的维护、查询及批量操作，建立结构化的专家字典。通过接口集成，可全面查看患者的基本信息、病历、医嘱、护理记录及医技报告。</w:t>
            </w:r>
          </w:p>
          <w:p>
            <w:pPr>
              <w:pStyle w:val="null3"/>
              <w:ind w:firstLine="480"/>
              <w:jc w:val="left"/>
            </w:pPr>
            <w:r>
              <w:rPr>
                <w:rFonts w:ascii="仿宋_GB2312" w:hAnsi="仿宋_GB2312" w:cs="仿宋_GB2312" w:eastAsia="仿宋_GB2312"/>
                <w:sz w:val="24"/>
              </w:rPr>
              <w:t>3.全流程会诊管理</w:t>
            </w:r>
          </w:p>
          <w:p>
            <w:pPr>
              <w:pStyle w:val="null3"/>
              <w:ind w:firstLine="480"/>
              <w:jc w:val="left"/>
            </w:pPr>
            <w:r>
              <w:rPr>
                <w:rFonts w:ascii="仿宋_GB2312" w:hAnsi="仿宋_GB2312" w:cs="仿宋_GB2312" w:eastAsia="仿宋_GB2312"/>
                <w:sz w:val="24"/>
              </w:rPr>
              <w:t>支持院内会诊、院外远程会诊、多学科联合会诊（</w:t>
            </w:r>
            <w:r>
              <w:rPr>
                <w:rFonts w:ascii="仿宋_GB2312" w:hAnsi="仿宋_GB2312" w:cs="仿宋_GB2312" w:eastAsia="仿宋_GB2312"/>
                <w:sz w:val="24"/>
              </w:rPr>
              <w:t>MDT）等多种申请类型。可便捷选择专家和患者，并自动调取患者的共享病历资料。具备智能排班功能，在选择会诊时间时自动检测并提醒专家时间冲突。自动发送会诊申请、变更、取消、开始提醒等各类通知。支持自定义会诊模板，方便医生快速录入和规范会诊意见。实时查看会诊记录、会诊状态及整个流程的进度。</w:t>
            </w:r>
          </w:p>
          <w:p>
            <w:pPr>
              <w:pStyle w:val="null3"/>
              <w:numPr>
                <w:ilvl w:val="0"/>
                <w:numId w:val="1"/>
              </w:numPr>
              <w:jc w:val="left"/>
            </w:pPr>
            <w:r>
              <w:rPr>
                <w:rFonts w:ascii="仿宋_GB2312" w:hAnsi="仿宋_GB2312" w:cs="仿宋_GB2312" w:eastAsia="仿宋_GB2312"/>
                <w:sz w:val="24"/>
              </w:rPr>
              <w:t>数据分析与报表统计</w:t>
            </w:r>
          </w:p>
          <w:p>
            <w:pPr>
              <w:pStyle w:val="null3"/>
              <w:ind w:firstLine="480"/>
              <w:jc w:val="left"/>
            </w:pPr>
            <w:r>
              <w:rPr>
                <w:rFonts w:ascii="仿宋_GB2312" w:hAnsi="仿宋_GB2312" w:cs="仿宋_GB2312" w:eastAsia="仿宋_GB2312"/>
                <w:sz w:val="24"/>
              </w:rPr>
              <w:t>系统支持按多种维度（如科室、专家、病种、时间）进行数据统计和分析，并可自定义设计报表。</w:t>
            </w:r>
          </w:p>
          <w:p>
            <w:pPr>
              <w:pStyle w:val="null3"/>
              <w:jc w:val="left"/>
            </w:pPr>
            <w:r>
              <w:rPr>
                <w:rFonts w:ascii="仿宋_GB2312" w:hAnsi="仿宋_GB2312" w:cs="仿宋_GB2312" w:eastAsia="仿宋_GB2312"/>
                <w:sz w:val="24"/>
              </w:rPr>
              <w:t>移动端功能需求：</w:t>
            </w:r>
          </w:p>
          <w:p>
            <w:pPr>
              <w:pStyle w:val="null3"/>
              <w:ind w:firstLine="480"/>
              <w:jc w:val="left"/>
            </w:pPr>
            <w:r>
              <w:rPr>
                <w:rFonts w:ascii="仿宋_GB2312" w:hAnsi="仿宋_GB2312" w:cs="仿宋_GB2312" w:eastAsia="仿宋_GB2312"/>
                <w:sz w:val="24"/>
              </w:rPr>
              <w:t>1.便捷的入口与信息触达</w:t>
            </w:r>
          </w:p>
          <w:p>
            <w:pPr>
              <w:pStyle w:val="null3"/>
              <w:ind w:firstLine="480"/>
              <w:jc w:val="left"/>
            </w:pPr>
            <w:r>
              <w:rPr>
                <w:rFonts w:ascii="仿宋_GB2312" w:hAnsi="仿宋_GB2312" w:cs="仿宋_GB2312" w:eastAsia="仿宋_GB2312"/>
                <w:sz w:val="24"/>
              </w:rPr>
              <w:t>支持手机号码、院内账号等多种登录方式，方便快捷。统一接收和管理各类会诊通知（如新申请、会议提醒、变更通知）。支持对消息进行阅读、处理等操作，并可一键跳转至相关会诊界面，实现高效衔接。首页支持轮播图、重要通知展示和常用功能快捷入口，并可按时间或卡片式清晰展示会诊列表。</w:t>
            </w:r>
          </w:p>
          <w:p>
            <w:pPr>
              <w:pStyle w:val="null3"/>
              <w:ind w:firstLine="480"/>
              <w:jc w:val="left"/>
            </w:pPr>
            <w:r>
              <w:rPr>
                <w:rFonts w:ascii="仿宋_GB2312" w:hAnsi="仿宋_GB2312" w:cs="仿宋_GB2312" w:eastAsia="仿宋_GB2312"/>
                <w:sz w:val="24"/>
              </w:rPr>
              <w:t>2.核心会诊业务全流程支持</w:t>
            </w:r>
          </w:p>
          <w:p>
            <w:pPr>
              <w:pStyle w:val="null3"/>
              <w:ind w:firstLine="480"/>
              <w:jc w:val="left"/>
            </w:pPr>
            <w:r>
              <w:rPr>
                <w:rFonts w:ascii="仿宋_GB2312" w:hAnsi="仿宋_GB2312" w:cs="仿宋_GB2312" w:eastAsia="仿宋_GB2312"/>
                <w:sz w:val="24"/>
              </w:rPr>
              <w:t>在会诊列表和会诊中，均可通过接口实时查看患者的全貌信息，包括基本信息、病历、医嘱、护理记录及医技报告。支持多种意见录入方式，包括使用预设模板、语音转文字、手动文字输入，极大提升记录效率。专家可直接在移动端进入会诊房间，进行实时音视频对话，确保沟通无障碍。实时查看会诊状态与流程进度，便于掌控会诊全过程。</w:t>
            </w:r>
          </w:p>
          <w:p>
            <w:pPr>
              <w:pStyle w:val="null3"/>
              <w:ind w:firstLine="480"/>
              <w:jc w:val="left"/>
            </w:pPr>
            <w:r>
              <w:rPr>
                <w:rFonts w:ascii="仿宋_GB2312" w:hAnsi="仿宋_GB2312" w:cs="仿宋_GB2312" w:eastAsia="仿宋_GB2312"/>
                <w:sz w:val="24"/>
              </w:rPr>
              <w:t>3.严格的安全与隐私保护</w:t>
            </w:r>
          </w:p>
          <w:p>
            <w:pPr>
              <w:pStyle w:val="null3"/>
              <w:ind w:firstLine="480"/>
              <w:jc w:val="left"/>
            </w:pPr>
            <w:r>
              <w:rPr>
                <w:rFonts w:ascii="仿宋_GB2312" w:hAnsi="仿宋_GB2312" w:cs="仿宋_GB2312" w:eastAsia="仿宋_GB2312"/>
                <w:sz w:val="24"/>
              </w:rPr>
              <w:t>系统启用防截屏功能，防止患者敏感信息被非法截取。支持自定义水印（如用户姓名、时间），一旦信息外泄可有效溯源，增强威慑力。</w:t>
            </w:r>
          </w:p>
          <w:p>
            <w:pPr>
              <w:pStyle w:val="null3"/>
              <w:jc w:val="left"/>
            </w:pPr>
            <w:r>
              <w:rPr>
                <w:rFonts w:ascii="仿宋_GB2312" w:hAnsi="仿宋_GB2312" w:cs="仿宋_GB2312" w:eastAsia="仿宋_GB2312"/>
                <w:sz w:val="24"/>
              </w:rPr>
              <w:t>（二）患者满意度评价系统采购需求</w:t>
            </w:r>
          </w:p>
          <w:p>
            <w:pPr>
              <w:pStyle w:val="null3"/>
              <w:ind w:firstLine="480"/>
              <w:jc w:val="left"/>
            </w:pPr>
            <w:r>
              <w:rPr>
                <w:rFonts w:ascii="仿宋_GB2312" w:hAnsi="仿宋_GB2312" w:cs="仿宋_GB2312" w:eastAsia="仿宋_GB2312"/>
                <w:sz w:val="24"/>
              </w:rPr>
              <w:t>1.数据采集与评价触发模块</w:t>
            </w:r>
          </w:p>
          <w:p>
            <w:pPr>
              <w:pStyle w:val="null3"/>
              <w:ind w:firstLine="480"/>
              <w:jc w:val="left"/>
            </w:pPr>
            <w:r>
              <w:rPr>
                <w:rFonts w:ascii="仿宋_GB2312" w:hAnsi="仿宋_GB2312" w:cs="仿宋_GB2312" w:eastAsia="仿宋_GB2312"/>
                <w:sz w:val="24"/>
              </w:rPr>
              <w:t>系统支持在完成挂号、门诊诊疗、缴费、取药、住院病房、出院结算等多种就诊环节中，通过布置评价器或二维码进行满意度评价操作。</w:t>
            </w:r>
          </w:p>
          <w:p>
            <w:pPr>
              <w:pStyle w:val="null3"/>
              <w:ind w:firstLine="480"/>
              <w:jc w:val="left"/>
            </w:pPr>
            <w:r>
              <w:rPr>
                <w:rFonts w:ascii="仿宋_GB2312" w:hAnsi="仿宋_GB2312" w:cs="仿宋_GB2312" w:eastAsia="仿宋_GB2312"/>
                <w:sz w:val="24"/>
              </w:rPr>
              <w:t>2.评价内容与管理模块</w:t>
            </w:r>
          </w:p>
          <w:p>
            <w:pPr>
              <w:pStyle w:val="null3"/>
              <w:ind w:firstLine="480"/>
              <w:jc w:val="left"/>
            </w:pPr>
            <w:r>
              <w:rPr>
                <w:rFonts w:ascii="仿宋_GB2312" w:hAnsi="仿宋_GB2312" w:cs="仿宋_GB2312" w:eastAsia="仿宋_GB2312"/>
                <w:sz w:val="24"/>
              </w:rPr>
              <w:t>管理员可灵活自定义评价问卷，支持多种题型（如五星评分、</w:t>
            </w:r>
            <w:r>
              <w:rPr>
                <w:rFonts w:ascii="仿宋_GB2312" w:hAnsi="仿宋_GB2312" w:cs="仿宋_GB2312" w:eastAsia="仿宋_GB2312"/>
                <w:sz w:val="24"/>
              </w:rPr>
              <w:t>NPS净推荐值、单选题、多选题、开放式问题）。问卷需能覆盖门诊、急诊、住院、护理、体检等多个医疗服务场景，包括但不限于：医生服务态度、沟通效果、隐私保护、护士态度、技术操作、健康教育、就医环境、等候时间、流程便捷性、医技科室服务满意度行政后勤保障科室满意度等内容。</w:t>
            </w:r>
          </w:p>
          <w:p>
            <w:pPr>
              <w:pStyle w:val="null3"/>
              <w:ind w:firstLine="480"/>
              <w:jc w:val="left"/>
            </w:pPr>
            <w:r>
              <w:rPr>
                <w:rFonts w:ascii="仿宋_GB2312" w:hAnsi="仿宋_GB2312" w:cs="仿宋_GB2312" w:eastAsia="仿宋_GB2312"/>
                <w:sz w:val="24"/>
              </w:rPr>
              <w:t>3.数据分析与可视化报表模块</w:t>
            </w:r>
          </w:p>
          <w:p>
            <w:pPr>
              <w:pStyle w:val="null3"/>
              <w:ind w:firstLine="480"/>
              <w:jc w:val="left"/>
            </w:pPr>
            <w:r>
              <w:rPr>
                <w:rFonts w:ascii="仿宋_GB2312" w:hAnsi="仿宋_GB2312" w:cs="仿宋_GB2312" w:eastAsia="仿宋_GB2312"/>
                <w:sz w:val="24"/>
              </w:rPr>
              <w:t>提供院长、科室主任等不同层级的管理驾驶舱，实时展示满意度总分、各维度得分、趋势变化等关键指标。多维度查询统计功能，支持按时间、科室、医生、病种、就诊类型等多个维度进行交叉统计分析。能生成满意度变化趋势图，便于进行长期追踪和管理。</w:t>
            </w:r>
          </w:p>
          <w:p>
            <w:pPr>
              <w:pStyle w:val="null3"/>
              <w:ind w:firstLine="480"/>
              <w:jc w:val="left"/>
            </w:pPr>
            <w:r>
              <w:rPr>
                <w:rFonts w:ascii="仿宋_GB2312" w:hAnsi="仿宋_GB2312" w:cs="仿宋_GB2312" w:eastAsia="仿宋_GB2312"/>
                <w:sz w:val="24"/>
              </w:rPr>
              <w:t>4.系统管理与集成要求</w:t>
            </w:r>
          </w:p>
          <w:p>
            <w:pPr>
              <w:pStyle w:val="null3"/>
              <w:ind w:firstLine="480"/>
              <w:jc w:val="left"/>
            </w:pPr>
            <w:r>
              <w:rPr>
                <w:rFonts w:ascii="仿宋_GB2312" w:hAnsi="仿宋_GB2312" w:cs="仿宋_GB2312" w:eastAsia="仿宋_GB2312"/>
                <w:sz w:val="24"/>
              </w:rPr>
              <w:t>支持多级角色权限分配（如超级管理员、科室管理员、普通查看者）。支持提供接口对接能力，能与医院现有的</w:t>
            </w:r>
            <w:r>
              <w:rPr>
                <w:rFonts w:ascii="仿宋_GB2312" w:hAnsi="仿宋_GB2312" w:cs="仿宋_GB2312" w:eastAsia="仿宋_GB2312"/>
                <w:sz w:val="24"/>
              </w:rPr>
              <w:t>HIS（医院信息系统）、EMR（电子病历）等核心系统无缝对接，自动获取患者就诊信息，避免手动导入。</w:t>
            </w:r>
          </w:p>
          <w:p>
            <w:pPr>
              <w:pStyle w:val="null3"/>
              <w:jc w:val="center"/>
            </w:pPr>
            <w:r>
              <w:rPr>
                <w:rFonts w:ascii="仿宋_GB2312" w:hAnsi="仿宋_GB2312" w:cs="仿宋_GB2312" w:eastAsia="仿宋_GB2312"/>
                <w:sz w:val="24"/>
              </w:rPr>
              <w:t>第六部分智慧眼科患者管理与院外随访平台</w:t>
            </w:r>
          </w:p>
          <w:p>
            <w:pPr>
              <w:pStyle w:val="null3"/>
              <w:jc w:val="left"/>
            </w:pPr>
            <w:r>
              <w:rPr>
                <w:rFonts w:ascii="仿宋_GB2312" w:hAnsi="仿宋_GB2312" w:cs="仿宋_GB2312" w:eastAsia="仿宋_GB2312"/>
                <w:sz w:val="24"/>
              </w:rPr>
              <w:t>项目名称：智慧眼科患者管理与院外随访平台（小程序</w:t>
            </w:r>
            <w:r>
              <w:rPr>
                <w:rFonts w:ascii="仿宋_GB2312" w:hAnsi="仿宋_GB2312" w:cs="仿宋_GB2312" w:eastAsia="仿宋_GB2312"/>
                <w:sz w:val="24"/>
              </w:rPr>
              <w:t>+管理后台）</w:t>
            </w:r>
          </w:p>
          <w:p>
            <w:pPr>
              <w:pStyle w:val="null3"/>
              <w:jc w:val="left"/>
            </w:pPr>
            <w:r>
              <w:rPr>
                <w:rFonts w:ascii="仿宋_GB2312" w:hAnsi="仿宋_GB2312" w:cs="仿宋_GB2312" w:eastAsia="仿宋_GB2312"/>
                <w:sz w:val="24"/>
              </w:rPr>
              <w:t>（一）总体设计要求</w:t>
            </w:r>
          </w:p>
          <w:p>
            <w:pPr>
              <w:pStyle w:val="null3"/>
              <w:ind w:firstLine="480"/>
              <w:jc w:val="left"/>
            </w:pPr>
            <w:r>
              <w:rPr>
                <w:rFonts w:ascii="仿宋_GB2312" w:hAnsi="仿宋_GB2312" w:cs="仿宋_GB2312" w:eastAsia="仿宋_GB2312"/>
                <w:sz w:val="24"/>
              </w:rPr>
              <w:t>1.技术架构</w:t>
            </w:r>
          </w:p>
          <w:p>
            <w:pPr>
              <w:pStyle w:val="null3"/>
              <w:ind w:firstLine="480"/>
              <w:jc w:val="left"/>
            </w:pPr>
            <w:r>
              <w:rPr>
                <w:rFonts w:ascii="仿宋_GB2312" w:hAnsi="仿宋_GB2312" w:cs="仿宋_GB2312" w:eastAsia="仿宋_GB2312"/>
                <w:sz w:val="24"/>
              </w:rPr>
              <w:t>前端：患者端采用微信小程序，确保无需下载、即开即用。医生端采用响应式</w:t>
            </w:r>
            <w:r>
              <w:rPr>
                <w:rFonts w:ascii="仿宋_GB2312" w:hAnsi="仿宋_GB2312" w:cs="仿宋_GB2312" w:eastAsia="仿宋_GB2312"/>
                <w:sz w:val="24"/>
              </w:rPr>
              <w:t>Web设计，支持在PC、平板等多种设备的主流浏览器（如Chrome,Edge,Firefox等）上流畅使用。</w:t>
            </w:r>
          </w:p>
          <w:p>
            <w:pPr>
              <w:pStyle w:val="null3"/>
              <w:ind w:firstLine="480"/>
              <w:jc w:val="left"/>
            </w:pPr>
            <w:r>
              <w:rPr>
                <w:rFonts w:ascii="仿宋_GB2312" w:hAnsi="仿宋_GB2312" w:cs="仿宋_GB2312" w:eastAsia="仿宋_GB2312"/>
                <w:sz w:val="24"/>
              </w:rPr>
              <w:t>后端：采用前后端分离的微服务架构，保证系统的高可用、高并发和易扩展性。数据库需采用高性能关系型数据库（如</w:t>
            </w:r>
            <w:r>
              <w:rPr>
                <w:rFonts w:ascii="仿宋_GB2312" w:hAnsi="仿宋_GB2312" w:cs="仿宋_GB2312" w:eastAsia="仿宋_GB2312"/>
                <w:sz w:val="24"/>
              </w:rPr>
              <w:t>MySQL/PostgreSQL）。</w:t>
            </w:r>
          </w:p>
          <w:p>
            <w:pPr>
              <w:pStyle w:val="null3"/>
              <w:ind w:firstLine="480"/>
              <w:jc w:val="left"/>
            </w:pPr>
            <w:r>
              <w:rPr>
                <w:rFonts w:ascii="仿宋_GB2312" w:hAnsi="仿宋_GB2312" w:cs="仿宋_GB2312" w:eastAsia="仿宋_GB2312"/>
                <w:sz w:val="24"/>
              </w:rPr>
              <w:t>部署：支持私有云或本地化部署，具体部署方式根据医院安全策略确定。</w:t>
            </w:r>
          </w:p>
          <w:p>
            <w:pPr>
              <w:pStyle w:val="null3"/>
              <w:ind w:firstLine="480"/>
              <w:jc w:val="left"/>
            </w:pPr>
            <w:r>
              <w:rPr>
                <w:rFonts w:ascii="仿宋_GB2312" w:hAnsi="仿宋_GB2312" w:cs="仿宋_GB2312" w:eastAsia="仿宋_GB2312"/>
                <w:sz w:val="24"/>
              </w:rPr>
              <w:t>2.性能与安全</w:t>
            </w:r>
          </w:p>
          <w:p>
            <w:pPr>
              <w:pStyle w:val="null3"/>
              <w:ind w:firstLine="480"/>
              <w:jc w:val="left"/>
            </w:pPr>
            <w:r>
              <w:rPr>
                <w:rFonts w:ascii="仿宋_GB2312" w:hAnsi="仿宋_GB2312" w:cs="仿宋_GB2312" w:eastAsia="仿宋_GB2312"/>
                <w:sz w:val="24"/>
              </w:rPr>
              <w:t>性能：系统页面平均响应时间</w:t>
            </w:r>
            <w:r>
              <w:rPr>
                <w:rFonts w:ascii="仿宋_GB2312" w:hAnsi="仿宋_GB2312" w:cs="仿宋_GB2312" w:eastAsia="仿宋_GB2312"/>
                <w:sz w:val="24"/>
              </w:rPr>
              <w:t>&lt;2秒，支持至少5000名日活跃用户，核心业务接口能承受每分钟1000次并发请求。</w:t>
            </w:r>
          </w:p>
          <w:p>
            <w:pPr>
              <w:pStyle w:val="null3"/>
              <w:ind w:firstLine="480"/>
              <w:jc w:val="left"/>
            </w:pPr>
            <w:r>
              <w:rPr>
                <w:rFonts w:ascii="仿宋_GB2312" w:hAnsi="仿宋_GB2312" w:cs="仿宋_GB2312" w:eastAsia="仿宋_GB2312"/>
                <w:sz w:val="24"/>
              </w:rPr>
              <w:t>安全：必须遵循《网络安全法》、《个人信息保护法》及国家卫生健康委相关规范。数据传输全程采用</w:t>
            </w:r>
            <w:r>
              <w:rPr>
                <w:rFonts w:ascii="仿宋_GB2312" w:hAnsi="仿宋_GB2312" w:cs="仿宋_GB2312" w:eastAsia="仿宋_GB2312"/>
                <w:sz w:val="24"/>
              </w:rPr>
              <w:t>HTTPS加密，敏感数据（如患者身份证号、详细住址）在数据库中进行加密存储。系统正式上线前需通过网络安全等级保护（二级或以上）测评。</w:t>
            </w:r>
          </w:p>
          <w:p>
            <w:pPr>
              <w:pStyle w:val="null3"/>
              <w:ind w:firstLine="480"/>
              <w:jc w:val="left"/>
            </w:pPr>
            <w:r>
              <w:rPr>
                <w:rFonts w:ascii="仿宋_GB2312" w:hAnsi="仿宋_GB2312" w:cs="仿宋_GB2312" w:eastAsia="仿宋_GB2312"/>
                <w:sz w:val="24"/>
              </w:rPr>
              <w:t>3.合规性与易用性</w:t>
            </w:r>
          </w:p>
          <w:p>
            <w:pPr>
              <w:pStyle w:val="null3"/>
              <w:ind w:firstLine="480"/>
              <w:jc w:val="left"/>
            </w:pPr>
            <w:r>
              <w:rPr>
                <w:rFonts w:ascii="仿宋_GB2312" w:hAnsi="仿宋_GB2312" w:cs="仿宋_GB2312" w:eastAsia="仿宋_GB2312"/>
                <w:sz w:val="24"/>
              </w:rPr>
              <w:t>合规性：患者隐私政策需明确告知数据收集、使用范围，并获得用户授权同意。功能设计需符合医疗器械软件（如适用）及相关互联网诊疗管理规定。</w:t>
            </w:r>
          </w:p>
          <w:p>
            <w:pPr>
              <w:pStyle w:val="null3"/>
              <w:ind w:firstLine="480"/>
              <w:jc w:val="left"/>
            </w:pPr>
            <w:r>
              <w:rPr>
                <w:rFonts w:ascii="仿宋_GB2312" w:hAnsi="仿宋_GB2312" w:cs="仿宋_GB2312" w:eastAsia="仿宋_GB2312"/>
                <w:sz w:val="24"/>
              </w:rPr>
              <w:t>易用性：用户界面（</w:t>
            </w:r>
            <w:r>
              <w:rPr>
                <w:rFonts w:ascii="仿宋_GB2312" w:hAnsi="仿宋_GB2312" w:cs="仿宋_GB2312" w:eastAsia="仿宋_GB2312"/>
                <w:sz w:val="24"/>
              </w:rPr>
              <w:t>UI）设计遵循简洁、清晰的原则，用户体验（UX）流程顺畅。患者端需充分考虑中老年用户群体，提供大字体、高对比度、语音引导等适老化设计选项。</w:t>
            </w:r>
          </w:p>
          <w:p>
            <w:pPr>
              <w:pStyle w:val="null3"/>
              <w:jc w:val="left"/>
            </w:pPr>
            <w:r>
              <w:rPr>
                <w:rFonts w:ascii="仿宋_GB2312" w:hAnsi="仿宋_GB2312" w:cs="仿宋_GB2312" w:eastAsia="仿宋_GB2312"/>
                <w:sz w:val="24"/>
              </w:rPr>
              <w:t>（二）详细功能需求</w:t>
            </w:r>
          </w:p>
          <w:p>
            <w:pPr>
              <w:pStyle w:val="null3"/>
              <w:ind w:firstLine="480"/>
              <w:jc w:val="left"/>
            </w:pPr>
            <w:r>
              <w:rPr>
                <w:rFonts w:ascii="仿宋_GB2312" w:hAnsi="仿宋_GB2312" w:cs="仿宋_GB2312" w:eastAsia="仿宋_GB2312"/>
                <w:sz w:val="24"/>
              </w:rPr>
              <w:t>1.患者端（微信小程序）详细功能</w:t>
            </w:r>
          </w:p>
          <w:p>
            <w:pPr>
              <w:pStyle w:val="null3"/>
              <w:ind w:firstLine="480"/>
              <w:jc w:val="left"/>
            </w:pPr>
            <w:r>
              <w:rPr>
                <w:rFonts w:ascii="仿宋_GB2312" w:hAnsi="仿宋_GB2312" w:cs="仿宋_GB2312" w:eastAsia="仿宋_GB2312"/>
                <w:sz w:val="24"/>
              </w:rPr>
              <w:t>一级模块二级模块详细功能描述与数据字段要求</w:t>
            </w:r>
          </w:p>
          <w:p>
            <w:pPr>
              <w:pStyle w:val="null3"/>
              <w:ind w:firstLine="480"/>
              <w:jc w:val="left"/>
            </w:pPr>
            <w:r>
              <w:rPr>
                <w:rFonts w:ascii="仿宋_GB2312" w:hAnsi="仿宋_GB2312" w:cs="仿宋_GB2312" w:eastAsia="仿宋_GB2312"/>
                <w:sz w:val="24"/>
              </w:rPr>
              <w:t>用户中心注册</w:t>
            </w:r>
            <w:r>
              <w:rPr>
                <w:rFonts w:ascii="仿宋_GB2312" w:hAnsi="仿宋_GB2312" w:cs="仿宋_GB2312" w:eastAsia="仿宋_GB2312"/>
                <w:sz w:val="24"/>
              </w:rPr>
              <w:t>/登录支持微信一键授权登录，补充手机号进行绑定。首次使用需完成档案初始化（可直接与医院的电子健康卡或HIS系统导入基本信息，也可支持手动录入，并且可以扫病人信息编码直接生成基本信息）。</w:t>
            </w:r>
          </w:p>
          <w:p>
            <w:pPr>
              <w:pStyle w:val="null3"/>
              <w:ind w:firstLine="480"/>
              <w:jc w:val="left"/>
            </w:pPr>
            <w:r>
              <w:rPr>
                <w:rFonts w:ascii="仿宋_GB2312" w:hAnsi="仿宋_GB2312" w:cs="仿宋_GB2312" w:eastAsia="仿宋_GB2312"/>
                <w:sz w:val="24"/>
              </w:rPr>
              <w:t>我的档案字段包括：病历号（与</w:t>
            </w:r>
            <w:r>
              <w:rPr>
                <w:rFonts w:ascii="仿宋_GB2312" w:hAnsi="仿宋_GB2312" w:cs="仿宋_GB2312" w:eastAsia="仿宋_GB2312"/>
                <w:sz w:val="24"/>
              </w:rPr>
              <w:t>HIS同步）、姓名、性别、出生日期、身份证号（脱敏显示）、手机号、主要诊断（如：近视、青光眼等，与HIS同步）。</w:t>
            </w:r>
          </w:p>
          <w:p>
            <w:pPr>
              <w:pStyle w:val="null3"/>
              <w:ind w:firstLine="480"/>
              <w:jc w:val="left"/>
            </w:pPr>
            <w:r>
              <w:rPr>
                <w:rFonts w:ascii="仿宋_GB2312" w:hAnsi="仿宋_GB2312" w:cs="仿宋_GB2312" w:eastAsia="仿宋_GB2312"/>
                <w:sz w:val="24"/>
              </w:rPr>
              <w:t>数据记录</w:t>
            </w:r>
          </w:p>
          <w:p>
            <w:pPr>
              <w:pStyle w:val="null3"/>
              <w:ind w:firstLine="480"/>
              <w:jc w:val="left"/>
            </w:pPr>
            <w:r>
              <w:rPr>
                <w:rFonts w:ascii="仿宋_GB2312" w:hAnsi="仿宋_GB2312" w:cs="仿宋_GB2312" w:eastAsia="仿宋_GB2312"/>
                <w:sz w:val="24"/>
              </w:rPr>
              <w:t>手动数据录入</w:t>
            </w:r>
            <w:r>
              <w:rPr>
                <w:rFonts w:ascii="仿宋_GB2312" w:hAnsi="仿宋_GB2312" w:cs="仿宋_GB2312" w:eastAsia="仿宋_GB2312"/>
                <w:sz w:val="24"/>
              </w:rPr>
              <w:t>/拍照上传后自动导入数据提供结构化表单：</w:t>
            </w:r>
          </w:p>
          <w:p>
            <w:pPr>
              <w:pStyle w:val="null3"/>
              <w:ind w:firstLine="480"/>
              <w:jc w:val="left"/>
            </w:pPr>
            <w:r>
              <w:rPr>
                <w:rFonts w:ascii="仿宋_GB2312" w:hAnsi="仿宋_GB2312" w:cs="仿宋_GB2312" w:eastAsia="仿宋_GB2312"/>
                <w:sz w:val="24"/>
              </w:rPr>
              <w:t>-视力：左/右眼裸眼视力、矫正视力。</w:t>
            </w:r>
          </w:p>
          <w:p>
            <w:pPr>
              <w:pStyle w:val="null3"/>
              <w:ind w:firstLine="480"/>
              <w:jc w:val="left"/>
            </w:pPr>
            <w:r>
              <w:rPr>
                <w:rFonts w:ascii="仿宋_GB2312" w:hAnsi="仿宋_GB2312" w:cs="仿宋_GB2312" w:eastAsia="仿宋_GB2312"/>
                <w:sz w:val="24"/>
              </w:rPr>
              <w:t>-屈光度：左/右眼球镜（SPH）、柱镜（CYL）、轴位（AXIS）、瞳距（PD）。</w:t>
            </w:r>
          </w:p>
          <w:p>
            <w:pPr>
              <w:pStyle w:val="null3"/>
              <w:ind w:firstLine="480"/>
              <w:jc w:val="left"/>
            </w:pPr>
            <w:r>
              <w:rPr>
                <w:rFonts w:ascii="仿宋_GB2312" w:hAnsi="仿宋_GB2312" w:cs="仿宋_GB2312" w:eastAsia="仿宋_GB2312"/>
                <w:sz w:val="24"/>
              </w:rPr>
              <w:t>-生物测量：左/右眼眼轴长度（AL）、角膜曲率（K1,K2）、角膜厚度（CCT）。</w:t>
            </w:r>
          </w:p>
          <w:p>
            <w:pPr>
              <w:pStyle w:val="null3"/>
              <w:ind w:firstLine="480"/>
              <w:jc w:val="left"/>
            </w:pPr>
            <w:r>
              <w:rPr>
                <w:rFonts w:ascii="仿宋_GB2312" w:hAnsi="仿宋_GB2312" w:cs="仿宋_GB2312" w:eastAsia="仿宋_GB2312"/>
                <w:sz w:val="24"/>
              </w:rPr>
              <w:t>-眼压：左/右眼眼压值。</w:t>
            </w:r>
          </w:p>
          <w:p>
            <w:pPr>
              <w:pStyle w:val="null3"/>
              <w:ind w:firstLine="480"/>
              <w:jc w:val="left"/>
            </w:pPr>
            <w:r>
              <w:rPr>
                <w:rFonts w:ascii="仿宋_GB2312" w:hAnsi="仿宋_GB2312" w:cs="仿宋_GB2312" w:eastAsia="仿宋_GB2312"/>
                <w:sz w:val="24"/>
              </w:rPr>
              <w:t>-其他：允许上传检查报告单照片。</w:t>
            </w:r>
          </w:p>
          <w:p>
            <w:pPr>
              <w:pStyle w:val="null3"/>
              <w:ind w:firstLine="480"/>
              <w:jc w:val="left"/>
            </w:pPr>
            <w:r>
              <w:rPr>
                <w:rFonts w:ascii="仿宋_GB2312" w:hAnsi="仿宋_GB2312" w:cs="仿宋_GB2312" w:eastAsia="仿宋_GB2312"/>
                <w:sz w:val="24"/>
              </w:rPr>
              <w:t>-每次录入必须关联“记录日期”，系统自动记录创建时间。</w:t>
            </w:r>
          </w:p>
          <w:p>
            <w:pPr>
              <w:pStyle w:val="null3"/>
              <w:ind w:firstLine="480"/>
              <w:jc w:val="left"/>
            </w:pPr>
            <w:r>
              <w:rPr>
                <w:rFonts w:ascii="仿宋_GB2312" w:hAnsi="仿宋_GB2312" w:cs="仿宋_GB2312" w:eastAsia="仿宋_GB2312"/>
                <w:sz w:val="24"/>
              </w:rPr>
              <w:t>数据可视化管理</w:t>
            </w:r>
          </w:p>
          <w:p>
            <w:pPr>
              <w:pStyle w:val="null3"/>
              <w:ind w:firstLine="480"/>
              <w:jc w:val="left"/>
            </w:pPr>
            <w:r>
              <w:rPr>
                <w:rFonts w:ascii="仿宋_GB2312" w:hAnsi="仿宋_GB2312" w:cs="仿宋_GB2312" w:eastAsia="仿宋_GB2312"/>
                <w:sz w:val="24"/>
              </w:rPr>
              <w:t>个人看板</w:t>
            </w:r>
          </w:p>
          <w:p>
            <w:pPr>
              <w:pStyle w:val="null3"/>
              <w:ind w:firstLine="480"/>
              <w:jc w:val="left"/>
            </w:pPr>
            <w:r>
              <w:rPr>
                <w:rFonts w:ascii="仿宋_GB2312" w:hAnsi="仿宋_GB2312" w:cs="仿宋_GB2312" w:eastAsia="仿宋_GB2312"/>
                <w:sz w:val="24"/>
              </w:rPr>
              <w:t>以彩色折线图为核心，清晰展示视力、屈光度（球镜</w:t>
            </w:r>
            <w:r>
              <w:rPr>
                <w:rFonts w:ascii="仿宋_GB2312" w:hAnsi="仿宋_GB2312" w:cs="仿宋_GB2312" w:eastAsia="仿宋_GB2312"/>
                <w:sz w:val="24"/>
              </w:rPr>
              <w:t>/柱镜）、眼轴长度等核心指标随时间的变化趋势。支持图表缩放和按时间范围筛选。</w:t>
            </w:r>
          </w:p>
          <w:p>
            <w:pPr>
              <w:pStyle w:val="null3"/>
              <w:ind w:firstLine="480"/>
              <w:jc w:val="left"/>
            </w:pPr>
            <w:r>
              <w:rPr>
                <w:rFonts w:ascii="仿宋_GB2312" w:hAnsi="仿宋_GB2312" w:cs="仿宋_GB2312" w:eastAsia="仿宋_GB2312"/>
                <w:sz w:val="24"/>
              </w:rPr>
              <w:t>数据列表</w:t>
            </w:r>
          </w:p>
          <w:p>
            <w:pPr>
              <w:pStyle w:val="null3"/>
              <w:ind w:firstLine="480"/>
              <w:jc w:val="left"/>
            </w:pPr>
            <w:r>
              <w:rPr>
                <w:rFonts w:ascii="仿宋_GB2312" w:hAnsi="仿宋_GB2312" w:cs="仿宋_GB2312" w:eastAsia="仿宋_GB2312"/>
                <w:sz w:val="24"/>
              </w:rPr>
              <w:t>以列表形式展示所有历史记录，支持按记录类型和日期排序。可点击查看单次记录的详情。</w:t>
            </w:r>
          </w:p>
          <w:p>
            <w:pPr>
              <w:pStyle w:val="null3"/>
              <w:ind w:firstLine="480"/>
              <w:jc w:val="left"/>
            </w:pPr>
            <w:r>
              <w:rPr>
                <w:rFonts w:ascii="仿宋_GB2312" w:hAnsi="仿宋_GB2312" w:cs="仿宋_GB2312" w:eastAsia="仿宋_GB2312"/>
                <w:sz w:val="24"/>
              </w:rPr>
              <w:t>我的病历</w:t>
            </w:r>
          </w:p>
          <w:p>
            <w:pPr>
              <w:pStyle w:val="null3"/>
              <w:ind w:firstLine="480"/>
              <w:jc w:val="left"/>
            </w:pPr>
            <w:r>
              <w:rPr>
                <w:rFonts w:ascii="仿宋_GB2312" w:hAnsi="仿宋_GB2312" w:cs="仿宋_GB2312" w:eastAsia="仿宋_GB2312"/>
                <w:sz w:val="24"/>
              </w:rPr>
              <w:t>就诊记录展示从</w:t>
            </w:r>
            <w:r>
              <w:rPr>
                <w:rFonts w:ascii="仿宋_GB2312" w:hAnsi="仿宋_GB2312" w:cs="仿宋_GB2312" w:eastAsia="仿宋_GB2312"/>
                <w:sz w:val="24"/>
              </w:rPr>
              <w:t>HIS系统同步过来的历次门诊、住院摘要，包括诊断、处置、医嘱、处方信息。</w:t>
            </w:r>
          </w:p>
          <w:p>
            <w:pPr>
              <w:pStyle w:val="null3"/>
              <w:ind w:firstLine="480"/>
              <w:jc w:val="left"/>
            </w:pPr>
            <w:r>
              <w:rPr>
                <w:rFonts w:ascii="仿宋_GB2312" w:hAnsi="仿宋_GB2312" w:cs="仿宋_GB2312" w:eastAsia="仿宋_GB2312"/>
                <w:sz w:val="24"/>
              </w:rPr>
              <w:t>医生建议</w:t>
            </w:r>
          </w:p>
          <w:p>
            <w:pPr>
              <w:pStyle w:val="null3"/>
              <w:ind w:firstLine="480"/>
              <w:jc w:val="left"/>
            </w:pPr>
            <w:r>
              <w:rPr>
                <w:rFonts w:ascii="仿宋_GB2312" w:hAnsi="仿宋_GB2312" w:cs="仿宋_GB2312" w:eastAsia="仿宋_GB2312"/>
                <w:sz w:val="24"/>
              </w:rPr>
              <w:t>展示医生在管理后台为其填写的个性化随访建议、健康指导或复诊提醒。</w:t>
            </w:r>
          </w:p>
          <w:p>
            <w:pPr>
              <w:pStyle w:val="null3"/>
              <w:ind w:firstLine="480"/>
              <w:jc w:val="left"/>
            </w:pPr>
            <w:r>
              <w:rPr>
                <w:rFonts w:ascii="仿宋_GB2312" w:hAnsi="仿宋_GB2312" w:cs="仿宋_GB2312" w:eastAsia="仿宋_GB2312"/>
                <w:sz w:val="24"/>
              </w:rPr>
              <w:t>消息中心</w:t>
            </w:r>
          </w:p>
          <w:p>
            <w:pPr>
              <w:pStyle w:val="null3"/>
              <w:ind w:firstLine="480"/>
              <w:jc w:val="left"/>
            </w:pPr>
            <w:r>
              <w:rPr>
                <w:rFonts w:ascii="仿宋_GB2312" w:hAnsi="仿宋_GB2312" w:cs="仿宋_GB2312" w:eastAsia="仿宋_GB2312"/>
                <w:sz w:val="24"/>
              </w:rPr>
              <w:t>系统消息接收系统发送的通用健康科普文章。</w:t>
            </w:r>
          </w:p>
          <w:p>
            <w:pPr>
              <w:pStyle w:val="null3"/>
              <w:ind w:firstLine="480"/>
              <w:jc w:val="left"/>
            </w:pPr>
            <w:r>
              <w:rPr>
                <w:rFonts w:ascii="仿宋_GB2312" w:hAnsi="仿宋_GB2312" w:cs="仿宋_GB2312" w:eastAsia="仿宋_GB2312"/>
                <w:sz w:val="24"/>
              </w:rPr>
              <w:t>提醒消息接收医生发起的个性化复诊提醒、用药提醒等。</w:t>
            </w:r>
          </w:p>
          <w:p>
            <w:pPr>
              <w:pStyle w:val="null3"/>
              <w:ind w:firstLine="480"/>
              <w:jc w:val="left"/>
            </w:pPr>
            <w:r>
              <w:rPr>
                <w:rFonts w:ascii="仿宋_GB2312" w:hAnsi="仿宋_GB2312" w:cs="仿宋_GB2312" w:eastAsia="仿宋_GB2312"/>
                <w:sz w:val="24"/>
              </w:rPr>
              <w:t>2.医生/管理端（Web后台）详细功能</w:t>
            </w:r>
          </w:p>
          <w:p>
            <w:pPr>
              <w:pStyle w:val="null3"/>
              <w:ind w:firstLine="480"/>
              <w:jc w:val="left"/>
            </w:pPr>
            <w:r>
              <w:rPr>
                <w:rFonts w:ascii="仿宋_GB2312" w:hAnsi="仿宋_GB2312" w:cs="仿宋_GB2312" w:eastAsia="仿宋_GB2312"/>
                <w:sz w:val="24"/>
              </w:rPr>
              <w:t>一级模块二级模块详细功能描述与业务流程</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1）系统管理角色与权限支持创建管理员、科室主任、主治医师、规培医生、护士等角色，并可为每个角色精细配置权限（如：仅查看本人患者、可查看全科患者、可管理用户、可配置系统等）。</w:t>
            </w:r>
          </w:p>
          <w:p>
            <w:pPr>
              <w:pStyle w:val="null3"/>
              <w:ind w:firstLine="480"/>
              <w:jc w:val="left"/>
            </w:pPr>
            <w:r>
              <w:rPr>
                <w:rFonts w:ascii="仿宋_GB2312" w:hAnsi="仿宋_GB2312" w:cs="仿宋_GB2312" w:eastAsia="仿宋_GB2312"/>
                <w:sz w:val="24"/>
              </w:rPr>
              <w:t>医生账号管理支持批量导入、创建、启用</w:t>
            </w:r>
            <w:r>
              <w:rPr>
                <w:rFonts w:ascii="仿宋_GB2312" w:hAnsi="仿宋_GB2312" w:cs="仿宋_GB2312" w:eastAsia="仿宋_GB2312"/>
                <w:sz w:val="24"/>
              </w:rPr>
              <w:t>/禁用医生账号，并与医院工号关联。</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2）患者管理患者列表支持按姓名、病历号、诊断、主治医生、最近就诊时间等多维度查询和高级筛选。列表显示患者关键信息（姓名、病历号、主要诊断、最后记录时间）。</w:t>
            </w:r>
          </w:p>
          <w:p>
            <w:pPr>
              <w:pStyle w:val="null3"/>
              <w:ind w:firstLine="480"/>
              <w:jc w:val="left"/>
            </w:pPr>
            <w:r>
              <w:rPr>
                <w:rFonts w:ascii="仿宋_GB2312" w:hAnsi="仿宋_GB2312" w:cs="仿宋_GB2312" w:eastAsia="仿宋_GB2312"/>
                <w:sz w:val="24"/>
              </w:rPr>
              <w:t>患者详情页核心功能界面，要求信息集成展示：</w:t>
            </w:r>
          </w:p>
          <w:p>
            <w:pPr>
              <w:pStyle w:val="null3"/>
              <w:ind w:firstLine="480"/>
              <w:jc w:val="left"/>
            </w:pPr>
            <w:r>
              <w:rPr>
                <w:rFonts w:ascii="仿宋_GB2312" w:hAnsi="仿宋_GB2312" w:cs="仿宋_GB2312" w:eastAsia="仿宋_GB2312"/>
                <w:sz w:val="24"/>
              </w:rPr>
              <w:t>-上半部分：患者基本档案信息。</w:t>
            </w:r>
          </w:p>
          <w:p>
            <w:pPr>
              <w:pStyle w:val="null3"/>
              <w:ind w:firstLine="480"/>
              <w:jc w:val="left"/>
            </w:pPr>
            <w:r>
              <w:rPr>
                <w:rFonts w:ascii="仿宋_GB2312" w:hAnsi="仿宋_GB2312" w:cs="仿宋_GB2312" w:eastAsia="仿宋_GB2312"/>
                <w:sz w:val="24"/>
              </w:rPr>
              <w:t>-中部：数据趋势图表（同患者端，但医生视图），图表下方可切换不同指标。</w:t>
            </w:r>
          </w:p>
          <w:p>
            <w:pPr>
              <w:pStyle w:val="null3"/>
              <w:ind w:firstLine="480"/>
              <w:jc w:val="left"/>
            </w:pPr>
            <w:r>
              <w:rPr>
                <w:rFonts w:ascii="仿宋_GB2312" w:hAnsi="仿宋_GB2312" w:cs="仿宋_GB2312" w:eastAsia="仿宋_GB2312"/>
                <w:sz w:val="24"/>
              </w:rPr>
              <w:t>-下半部分：集成时间轴视图，将患者自行录入的数据点与从HIS同步的历次就诊事件在同一时间线上混合展示，一目了然。</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数据交互与管理数据审核机制医生可查看患者录入的每一条数据。对存疑的数据，可进行“标记”（如标记为“存疑”），并添加注释说明原因（如：“家庭测量误差可能”）。被标记的数据在趋势图中以不同颜色或样式显示。医生有权“隐藏”明显错误的数据点，使其不参与趋势分析。</w:t>
            </w:r>
          </w:p>
          <w:p>
            <w:pPr>
              <w:pStyle w:val="null3"/>
              <w:ind w:firstLine="480"/>
              <w:jc w:val="left"/>
            </w:pPr>
            <w:r>
              <w:rPr>
                <w:rFonts w:ascii="仿宋_GB2312" w:hAnsi="仿宋_GB2312" w:cs="仿宋_GB2312" w:eastAsia="仿宋_GB2312"/>
                <w:sz w:val="24"/>
              </w:rPr>
              <w:t>医生录入与修正医生可手动为患者添加或修正检查数据，该数据来源明确标记为</w:t>
            </w:r>
            <w:r>
              <w:rPr>
                <w:rFonts w:ascii="仿宋_GB2312" w:hAnsi="仿宋_GB2312" w:cs="仿宋_GB2312" w:eastAsia="仿宋_GB2312"/>
                <w:sz w:val="24"/>
              </w:rPr>
              <w:t>“医生录入”，并与“患者自录”数据在系统层面区分。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4）诊疗与随访电子病历集成/创建对于从HIS同步的患者，可直接查看其完整病历。医生也可在本系统内为患者创建随访病历，记录本次沟通要点或观察结论。</w:t>
            </w:r>
          </w:p>
          <w:p>
            <w:pPr>
              <w:pStyle w:val="null3"/>
              <w:ind w:firstLine="480"/>
              <w:jc w:val="left"/>
            </w:pPr>
            <w:r>
              <w:rPr>
                <w:rFonts w:ascii="仿宋_GB2312" w:hAnsi="仿宋_GB2312" w:cs="仿宋_GB2312" w:eastAsia="仿宋_GB2312"/>
                <w:sz w:val="24"/>
              </w:rPr>
              <w:t>随访计划可为患者创建个性化的随访计划，如</w:t>
            </w:r>
            <w:r>
              <w:rPr>
                <w:rFonts w:ascii="仿宋_GB2312" w:hAnsi="仿宋_GB2312" w:cs="仿宋_GB2312" w:eastAsia="仿宋_GB2312"/>
                <w:sz w:val="24"/>
              </w:rPr>
              <w:t>“3个月后复查眼轴”。系统自动追踪计划执行状态。</w:t>
            </w:r>
          </w:p>
          <w:p>
            <w:pPr>
              <w:pStyle w:val="null3"/>
              <w:ind w:firstLine="480"/>
              <w:jc w:val="left"/>
            </w:pPr>
            <w:r>
              <w:rPr>
                <w:rFonts w:ascii="仿宋_GB2312" w:hAnsi="仿宋_GB2312" w:cs="仿宋_GB2312" w:eastAsia="仿宋_GB2312"/>
                <w:sz w:val="24"/>
              </w:rPr>
              <w:t>消息推送可主动向单个或批量患者推送复诊提醒、用药指导等模板消息或自定义文本消息。</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5）统计与科研数据统计支持全科室或按医生分组统计：患者数量、疾病分布、数据录入率、随访完成率等。</w:t>
            </w:r>
          </w:p>
          <w:p>
            <w:pPr>
              <w:pStyle w:val="null3"/>
              <w:ind w:firstLine="480"/>
              <w:jc w:val="left"/>
            </w:pPr>
            <w:r>
              <w:rPr>
                <w:rFonts w:ascii="仿宋_GB2312" w:hAnsi="仿宋_GB2312" w:cs="仿宋_GB2312" w:eastAsia="仿宋_GB2312"/>
                <w:sz w:val="24"/>
              </w:rPr>
              <w:t>科研分析高级功能：支持医生自定义查询条件（如：筛选</w:t>
            </w:r>
            <w:r>
              <w:rPr>
                <w:rFonts w:ascii="仿宋_GB2312" w:hAnsi="仿宋_GB2312" w:cs="仿宋_GB2312" w:eastAsia="仿宋_GB2312"/>
                <w:sz w:val="24"/>
              </w:rPr>
              <w:t>“8-12岁”、“近视”、“眼轴年增长&gt;0.3mm”的患者），导出符合条件患者的匿名化数据（Excel/CSV格式），用于临床研究。</w:t>
            </w:r>
          </w:p>
          <w:p>
            <w:pPr>
              <w:pStyle w:val="null3"/>
              <w:jc w:val="left"/>
            </w:pPr>
            <w:r>
              <w:rPr>
                <w:rFonts w:ascii="仿宋_GB2312" w:hAnsi="仿宋_GB2312" w:cs="仿宋_GB2312" w:eastAsia="仿宋_GB2312"/>
                <w:sz w:val="24"/>
              </w:rPr>
              <w:t>（三）系统集成需求</w:t>
            </w:r>
          </w:p>
          <w:p>
            <w:pPr>
              <w:pStyle w:val="null3"/>
              <w:ind w:firstLine="480"/>
              <w:jc w:val="left"/>
            </w:pPr>
            <w:r>
              <w:rPr>
                <w:rFonts w:ascii="仿宋_GB2312" w:hAnsi="仿宋_GB2312" w:cs="仿宋_GB2312" w:eastAsia="仿宋_GB2312"/>
                <w:sz w:val="24"/>
              </w:rPr>
              <w:t>1.与医院HIS系统对接</w:t>
            </w:r>
          </w:p>
          <w:p>
            <w:pPr>
              <w:pStyle w:val="null3"/>
              <w:ind w:firstLine="480"/>
              <w:jc w:val="left"/>
            </w:pPr>
            <w:r>
              <w:rPr>
                <w:rFonts w:ascii="仿宋_GB2312" w:hAnsi="仿宋_GB2312" w:cs="仿宋_GB2312" w:eastAsia="仿宋_GB2312"/>
                <w:sz w:val="24"/>
              </w:rPr>
              <w:t>对接方式：优先采用基于标准化接口进行数据交换。供应商需派出有医疗系统对接经验的工程师，与我院信息科共同制定《接口对接技术方案》。</w:t>
            </w:r>
          </w:p>
          <w:p>
            <w:pPr>
              <w:pStyle w:val="null3"/>
              <w:ind w:firstLine="480"/>
              <w:jc w:val="left"/>
            </w:pPr>
            <w:r>
              <w:rPr>
                <w:rFonts w:ascii="仿宋_GB2312" w:hAnsi="仿宋_GB2312" w:cs="仿宋_GB2312" w:eastAsia="仿宋_GB2312"/>
                <w:sz w:val="24"/>
              </w:rPr>
              <w:t>数据同步内容清单：</w:t>
            </w:r>
          </w:p>
          <w:p>
            <w:pPr>
              <w:pStyle w:val="null3"/>
              <w:ind w:firstLine="480"/>
              <w:jc w:val="left"/>
            </w:pPr>
            <w:r>
              <w:rPr>
                <w:rFonts w:ascii="仿宋_GB2312" w:hAnsi="仿宋_GB2312" w:cs="仿宋_GB2312" w:eastAsia="仿宋_GB2312"/>
                <w:sz w:val="24"/>
              </w:rPr>
              <w:t>从</w:t>
            </w:r>
            <w:r>
              <w:rPr>
                <w:rFonts w:ascii="仿宋_GB2312" w:hAnsi="仿宋_GB2312" w:cs="仿宋_GB2312" w:eastAsia="仿宋_GB2312"/>
                <w:sz w:val="24"/>
              </w:rPr>
              <w:t>HIS同步至小程序：</w:t>
            </w:r>
          </w:p>
          <w:p>
            <w:pPr>
              <w:pStyle w:val="null3"/>
              <w:ind w:firstLine="480"/>
              <w:jc w:val="left"/>
            </w:pPr>
            <w:r>
              <w:rPr>
                <w:rFonts w:ascii="仿宋_GB2312" w:hAnsi="仿宋_GB2312" w:cs="仿宋_GB2312" w:eastAsia="仿宋_GB2312"/>
                <w:sz w:val="24"/>
              </w:rPr>
              <w:t>患者信息：病历号、姓名、性别、出生日期、身份证号、手机号。</w:t>
            </w:r>
          </w:p>
          <w:p>
            <w:pPr>
              <w:pStyle w:val="null3"/>
              <w:ind w:firstLine="480"/>
              <w:jc w:val="left"/>
            </w:pPr>
            <w:r>
              <w:rPr>
                <w:rFonts w:ascii="仿宋_GB2312" w:hAnsi="仿宋_GB2312" w:cs="仿宋_GB2312" w:eastAsia="仿宋_GB2312"/>
                <w:sz w:val="24"/>
              </w:rPr>
              <w:t>就诊信息：就诊</w:t>
            </w:r>
            <w:r>
              <w:rPr>
                <w:rFonts w:ascii="仿宋_GB2312" w:hAnsi="仿宋_GB2312" w:cs="仿宋_GB2312" w:eastAsia="仿宋_GB2312"/>
                <w:sz w:val="24"/>
              </w:rPr>
              <w:t>ID、就诊时间、诊断（ICD-10编码及名称）、主治医生工号及姓名。</w:t>
            </w:r>
          </w:p>
          <w:p>
            <w:pPr>
              <w:pStyle w:val="null3"/>
              <w:ind w:firstLine="480"/>
              <w:jc w:val="left"/>
            </w:pPr>
            <w:r>
              <w:rPr>
                <w:rFonts w:ascii="仿宋_GB2312" w:hAnsi="仿宋_GB2312" w:cs="仿宋_GB2312" w:eastAsia="仿宋_GB2312"/>
                <w:sz w:val="24"/>
              </w:rPr>
              <w:t>检查检验结果：验光结果、眼压、眼生物测量数据（若有结构化数据源）。</w:t>
            </w:r>
          </w:p>
          <w:p>
            <w:pPr>
              <w:pStyle w:val="null3"/>
              <w:ind w:firstLine="480"/>
              <w:jc w:val="left"/>
            </w:pPr>
            <w:r>
              <w:rPr>
                <w:rFonts w:ascii="仿宋_GB2312" w:hAnsi="仿宋_GB2312" w:cs="仿宋_GB2312" w:eastAsia="仿宋_GB2312"/>
                <w:sz w:val="24"/>
              </w:rPr>
              <w:t>处方信息：药品名称、规格、用法用量。</w:t>
            </w:r>
          </w:p>
          <w:p>
            <w:pPr>
              <w:pStyle w:val="null3"/>
              <w:ind w:firstLine="480"/>
              <w:jc w:val="left"/>
            </w:pPr>
            <w:r>
              <w:rPr>
                <w:rFonts w:ascii="仿宋_GB2312" w:hAnsi="仿宋_GB2312" w:cs="仿宋_GB2312" w:eastAsia="仿宋_GB2312"/>
                <w:sz w:val="24"/>
              </w:rPr>
              <w:t>从小程序同步至</w:t>
            </w:r>
            <w:r>
              <w:rPr>
                <w:rFonts w:ascii="仿宋_GB2312" w:hAnsi="仿宋_GB2312" w:cs="仿宋_GB2312" w:eastAsia="仿宋_GB2312"/>
                <w:sz w:val="24"/>
              </w:rPr>
              <w:t>HIS（双向，建议实现）：</w:t>
            </w:r>
          </w:p>
          <w:p>
            <w:pPr>
              <w:pStyle w:val="null3"/>
              <w:ind w:firstLine="480"/>
              <w:jc w:val="left"/>
            </w:pPr>
            <w:r>
              <w:rPr>
                <w:rFonts w:ascii="仿宋_GB2312" w:hAnsi="仿宋_GB2312" w:cs="仿宋_GB2312" w:eastAsia="仿宋_GB2312"/>
                <w:sz w:val="24"/>
              </w:rPr>
              <w:t>将医生在平台端确认过的、有价值的患者院外数据（如眼轴长度），通过特定接口写入</w:t>
            </w:r>
            <w:r>
              <w:rPr>
                <w:rFonts w:ascii="仿宋_GB2312" w:hAnsi="仿宋_GB2312" w:cs="仿宋_GB2312" w:eastAsia="仿宋_GB2312"/>
                <w:sz w:val="24"/>
              </w:rPr>
              <w:t>HIS系统，作为患者电子病历的“院外监测记录”部分，供临床医生参考。</w:t>
            </w:r>
          </w:p>
          <w:p>
            <w:pPr>
              <w:pStyle w:val="null3"/>
              <w:ind w:firstLine="480"/>
              <w:jc w:val="left"/>
            </w:pPr>
            <w:r>
              <w:rPr>
                <w:rFonts w:ascii="仿宋_GB2312" w:hAnsi="仿宋_GB2312" w:cs="仿宋_GB2312" w:eastAsia="仿宋_GB2312"/>
                <w:sz w:val="24"/>
              </w:rPr>
              <w:t>2.与医院微信公众号/小程序集成</w:t>
            </w:r>
          </w:p>
          <w:p>
            <w:pPr>
              <w:pStyle w:val="null3"/>
              <w:ind w:firstLine="480"/>
              <w:jc w:val="left"/>
            </w:pPr>
            <w:r>
              <w:rPr>
                <w:rFonts w:ascii="仿宋_GB2312" w:hAnsi="仿宋_GB2312" w:cs="仿宋_GB2312" w:eastAsia="仿宋_GB2312"/>
                <w:sz w:val="24"/>
              </w:rPr>
              <w:t>支持将本小程序作为医院官方微信公众号的菜单链接或子小程序嵌入，实现统一入口和管理。</w:t>
            </w:r>
          </w:p>
          <w:p>
            <w:pPr>
              <w:pStyle w:val="null3"/>
              <w:jc w:val="left"/>
            </w:pPr>
            <w:r>
              <w:rPr>
                <w:rFonts w:ascii="仿宋_GB2312" w:hAnsi="仿宋_GB2312" w:cs="仿宋_GB2312" w:eastAsia="仿宋_GB2312"/>
                <w:sz w:val="24"/>
              </w:rPr>
              <w:t>（四）项目实施与售后服务要求</w:t>
            </w:r>
          </w:p>
          <w:p>
            <w:pPr>
              <w:pStyle w:val="null3"/>
              <w:ind w:firstLine="480"/>
              <w:jc w:val="left"/>
            </w:pPr>
            <w:r>
              <w:rPr>
                <w:rFonts w:ascii="仿宋_GB2312" w:hAnsi="仿宋_GB2312" w:cs="仿宋_GB2312" w:eastAsia="仿宋_GB2312"/>
                <w:sz w:val="24"/>
              </w:rPr>
              <w:t>1.项目实施方案</w:t>
            </w:r>
          </w:p>
          <w:p>
            <w:pPr>
              <w:pStyle w:val="null3"/>
              <w:ind w:firstLine="480"/>
              <w:jc w:val="left"/>
            </w:pPr>
            <w:r>
              <w:rPr>
                <w:rFonts w:ascii="仿宋_GB2312" w:hAnsi="仿宋_GB2312" w:cs="仿宋_GB2312" w:eastAsia="仿宋_GB2312"/>
                <w:sz w:val="24"/>
              </w:rPr>
              <w:t>供应商需提供详细的《项目实施计划》，包括但不限于：</w:t>
            </w:r>
          </w:p>
          <w:p>
            <w:pPr>
              <w:pStyle w:val="null3"/>
              <w:ind w:firstLine="480"/>
              <w:jc w:val="left"/>
            </w:pPr>
            <w:r>
              <w:rPr>
                <w:rFonts w:ascii="仿宋_GB2312" w:hAnsi="仿宋_GB2312" w:cs="仿宋_GB2312" w:eastAsia="仿宋_GB2312"/>
                <w:sz w:val="24"/>
              </w:rPr>
              <w:t>项目团队：指定项目经理、技术负责人、接口开发工程师。</w:t>
            </w:r>
          </w:p>
          <w:p>
            <w:pPr>
              <w:pStyle w:val="null3"/>
              <w:ind w:firstLine="480"/>
              <w:jc w:val="left"/>
            </w:pPr>
            <w:r>
              <w:rPr>
                <w:rFonts w:ascii="仿宋_GB2312" w:hAnsi="仿宋_GB2312" w:cs="仿宋_GB2312" w:eastAsia="仿宋_GB2312"/>
                <w:sz w:val="24"/>
              </w:rPr>
              <w:t>里程碑计划：明确需求确认、</w:t>
            </w:r>
            <w:r>
              <w:rPr>
                <w:rFonts w:ascii="仿宋_GB2312" w:hAnsi="仿宋_GB2312" w:cs="仿宋_GB2312" w:eastAsia="仿宋_GB2312"/>
                <w:sz w:val="24"/>
              </w:rPr>
              <w:t>UI/UX设计、开发、测试、UAT（用户验收测试）、上线等关键阶段的时间节点。</w:t>
            </w:r>
          </w:p>
          <w:p>
            <w:pPr>
              <w:pStyle w:val="null3"/>
              <w:ind w:firstLine="480"/>
              <w:jc w:val="left"/>
            </w:pPr>
            <w:r>
              <w:rPr>
                <w:rFonts w:ascii="仿宋_GB2312" w:hAnsi="仿宋_GB2312" w:cs="仿宋_GB2312" w:eastAsia="仿宋_GB2312"/>
                <w:sz w:val="24"/>
              </w:rPr>
              <w:t>培训计划：分别针对系统管理员、眼科医生和护士提供操作培训材料和现场</w:t>
            </w:r>
            <w:r>
              <w:rPr>
                <w:rFonts w:ascii="仿宋_GB2312" w:hAnsi="仿宋_GB2312" w:cs="仿宋_GB2312" w:eastAsia="仿宋_GB2312"/>
                <w:sz w:val="24"/>
              </w:rPr>
              <w:t>/线上培训课程。</w:t>
            </w:r>
          </w:p>
          <w:p>
            <w:pPr>
              <w:pStyle w:val="null3"/>
              <w:jc w:val="center"/>
            </w:pPr>
            <w:r>
              <w:rPr>
                <w:rFonts w:ascii="仿宋_GB2312" w:hAnsi="仿宋_GB2312" w:cs="仿宋_GB2312" w:eastAsia="仿宋_GB2312"/>
                <w:sz w:val="24"/>
              </w:rPr>
              <w:t>第七部分信息中心相关硬件及对接采购需求</w:t>
            </w:r>
          </w:p>
          <w:p>
            <w:pPr>
              <w:pStyle w:val="null3"/>
              <w:ind w:firstLine="480"/>
              <w:jc w:val="left"/>
            </w:pPr>
            <w:r>
              <w:rPr>
                <w:rFonts w:ascii="仿宋_GB2312" w:hAnsi="仿宋_GB2312" w:cs="仿宋_GB2312" w:eastAsia="仿宋_GB2312"/>
                <w:sz w:val="24"/>
              </w:rPr>
              <w:t>--超融合一体化平台与网络安全建设，需结合现行网络架构及分散物理服务器的硬件结构全盘考虑，依照国家要求构建稳定、高效、可持续的标准化机房。本次建设按照匹配硬件为准。</w:t>
            </w:r>
          </w:p>
          <w:p>
            <w:pPr>
              <w:pStyle w:val="null3"/>
              <w:ind w:firstLine="480"/>
              <w:jc w:val="left"/>
            </w:pPr>
            <w:r>
              <w:rPr>
                <w:rFonts w:ascii="仿宋_GB2312" w:hAnsi="仿宋_GB2312" w:cs="仿宋_GB2312" w:eastAsia="仿宋_GB2312"/>
                <w:sz w:val="24"/>
              </w:rPr>
              <w:t>1、主流品牌台式机两台，显示器≥27寸，CPU≥16核，内存≥16G，系统硬盘≥480G，存储硬盘≥1T，预装正版win10操作系统。</w:t>
            </w:r>
          </w:p>
          <w:p>
            <w:pPr>
              <w:pStyle w:val="null3"/>
              <w:ind w:firstLine="480"/>
              <w:jc w:val="left"/>
            </w:pPr>
            <w:r>
              <w:rPr>
                <w:rFonts w:ascii="仿宋_GB2312" w:hAnsi="仿宋_GB2312" w:cs="仿宋_GB2312" w:eastAsia="仿宋_GB2312"/>
                <w:sz w:val="24"/>
              </w:rPr>
              <w:t>2、7*8小时驻场服务1人3年，对接不限于本项目的上线及后期运维。</w:t>
            </w:r>
          </w:p>
          <w:p>
            <w:pPr>
              <w:pStyle w:val="null3"/>
              <w:ind w:firstLine="480"/>
              <w:jc w:val="left"/>
            </w:pPr>
            <w:r>
              <w:rPr>
                <w:rFonts w:ascii="仿宋_GB2312" w:hAnsi="仿宋_GB2312" w:cs="仿宋_GB2312" w:eastAsia="仿宋_GB2312"/>
                <w:sz w:val="24"/>
              </w:rPr>
              <w:t>3、本项目包含与HIS等院内各项系统数据无缝对接（包含三年内若更换系统的二次对接，相关费用包含在本次项目总报价中，不再另行支付）。</w:t>
            </w:r>
          </w:p>
          <w:p>
            <w:pPr>
              <w:pStyle w:val="null3"/>
              <w:ind w:firstLine="480"/>
              <w:jc w:val="left"/>
            </w:pPr>
            <w:r>
              <w:rPr>
                <w:rFonts w:ascii="仿宋_GB2312" w:hAnsi="仿宋_GB2312" w:cs="仿宋_GB2312" w:eastAsia="仿宋_GB2312"/>
                <w:sz w:val="24"/>
              </w:rPr>
              <w:t>4、下一代防火墙设备，硬盘：内置硬盘容量≥1TB，用于存储系统日志、操作日志、流量日志及审计报告。网络接口千兆电口≥4个，万兆光口≥4个。管理接口：具备独立的专用管理接口。设备需具备一定的接口扩展能力，防火墙吞吐量：在三层模式下，设备整机吞吐量≥30Gbps。最大并发连接数：≥1,000,000。SSL VPN功能≥8个SSLVPN并发用户。提供原厂三年整机硬件质保。提供原厂三年软件升级与特征库（入侵防御特征库、病毒库、应用识别库、URL分类库）更新服务。</w:t>
            </w:r>
          </w:p>
          <w:p>
            <w:pPr>
              <w:pStyle w:val="null3"/>
              <w:ind w:firstLine="480"/>
              <w:jc w:val="left"/>
            </w:pPr>
            <w:r>
              <w:rPr>
                <w:rFonts w:ascii="仿宋_GB2312" w:hAnsi="仿宋_GB2312" w:cs="仿宋_GB2312" w:eastAsia="仿宋_GB2312"/>
                <w:sz w:val="24"/>
              </w:rPr>
              <w:t>5、一套超融合基础架构软硬件一体化平台，需提供不少于2个节点永久授权的超融合一体机，共同构成一个统一的资源池。单台节点具体配置要求如下：CPU：配置2颗高性能处理器。核心数：单颗物理CPU核心数≥36核。整机物理核心总数≥72核，内存总容量：单节点物理内存总容量≥384GB。可扩展性：需提供内存插槽余量说明，支持未来扩容。硬盘配置系统盘：配置≥2块480GB SSD固态硬盘，缓存盘：配置≥2块1.92TBSSD固态硬盘，用于存储分层的数据读写缓存，保障高性能。数据盘：配置≥6块10TB企业级SATA/SAS HDD机械硬盘，用于数据持久化存储。网络接口≥4个电口；≥4个万兆光口。扩展性：需提供标准PCIe扩展插槽，以满足未来网络升级需求。电源与冗余：配置双电源模块，支持1+1冗余，热插拔。电源功率需满足满配下稳定运行并留有充足余量。软网络交换机：提供与超融合平台配套的万兆核心网络交换机，端口数量需满足2节点互联及未来扩展需求，并包含所有必要的光模块和线缆。机柜与辅材：包含安装所需的所有机柜、PDU、线缆、导轨等辅材。基于上述2节点集群，平台最终需能够稳定虚拟化并运行不少于5台标准配置的虚拟机（虚拟机配置以4vCPU/32GB内存/500GB系统盘为基准），并能保证所有虚拟机在负载压力下流畅运行。集群需支持节点N+1冗余，任意单节点故障时，其上运行的业务虚拟机应能自动在其余节点上恢复，数据不丢失。</w:t>
            </w:r>
          </w:p>
          <w:p>
            <w:pPr>
              <w:pStyle w:val="null3"/>
              <w:ind w:firstLine="480"/>
              <w:jc w:val="left"/>
            </w:pPr>
            <w:r>
              <w:rPr>
                <w:rFonts w:ascii="仿宋_GB2312" w:hAnsi="仿宋_GB2312" w:cs="仿宋_GB2312" w:eastAsia="仿宋_GB2312"/>
                <w:sz w:val="24"/>
              </w:rPr>
              <w:t>2.售后服务与技术支持</w:t>
            </w:r>
          </w:p>
          <w:p>
            <w:pPr>
              <w:pStyle w:val="null3"/>
              <w:ind w:firstLine="480"/>
              <w:jc w:val="left"/>
            </w:pPr>
            <w:r>
              <w:rPr>
                <w:rFonts w:ascii="仿宋_GB2312" w:hAnsi="仿宋_GB2312" w:cs="仿宋_GB2312" w:eastAsia="仿宋_GB2312"/>
                <w:sz w:val="24"/>
              </w:rPr>
              <w:t>质保期：系统上线后，提供不少于</w:t>
            </w:r>
            <w:r>
              <w:rPr>
                <w:rFonts w:ascii="仿宋_GB2312" w:hAnsi="仿宋_GB2312" w:cs="仿宋_GB2312" w:eastAsia="仿宋_GB2312"/>
                <w:sz w:val="24"/>
              </w:rPr>
              <w:t>36个月的5*8小时驻场维护期。</w:t>
            </w:r>
          </w:p>
          <w:p>
            <w:pPr>
              <w:pStyle w:val="null3"/>
              <w:ind w:firstLine="480"/>
              <w:jc w:val="left"/>
            </w:pPr>
            <w:r>
              <w:rPr>
                <w:rFonts w:ascii="仿宋_GB2312" w:hAnsi="仿宋_GB2312" w:cs="仿宋_GB2312" w:eastAsia="仿宋_GB2312"/>
                <w:sz w:val="24"/>
              </w:rPr>
              <w:t>服务级别协议（</w:t>
            </w:r>
            <w:r>
              <w:rPr>
                <w:rFonts w:ascii="仿宋_GB2312" w:hAnsi="仿宋_GB2312" w:cs="仿宋_GB2312" w:eastAsia="仿宋_GB2312"/>
                <w:sz w:val="24"/>
              </w:rPr>
              <w:t>SLA）：提供7x24小时故障应急响应。核心业务故障立即响应，1小时内解决。非核心业务故障2小时内响应，4小时内解决。</w:t>
            </w:r>
          </w:p>
          <w:p>
            <w:pPr>
              <w:pStyle w:val="null3"/>
              <w:ind w:firstLine="480"/>
              <w:jc w:val="left"/>
            </w:pPr>
            <w:r>
              <w:rPr>
                <w:rFonts w:ascii="仿宋_GB2312" w:hAnsi="仿宋_GB2312" w:cs="仿宋_GB2312" w:eastAsia="仿宋_GB2312"/>
                <w:sz w:val="24"/>
              </w:rPr>
              <w:t>系统升级：质保期内提供系统漏洞修复和版本升级服务。质保期后，需提供合理的续费维护方案。</w:t>
            </w:r>
          </w:p>
          <w:p>
            <w:pPr>
              <w:pStyle w:val="null3"/>
              <w:ind w:firstLine="480"/>
              <w:jc w:val="left"/>
            </w:pPr>
            <w:r>
              <w:rPr>
                <w:rFonts w:ascii="仿宋_GB2312" w:hAnsi="仿宋_GB2312" w:cs="仿宋_GB2312" w:eastAsia="仿宋_GB2312"/>
                <w:sz w:val="24"/>
              </w:rPr>
              <w:t>以上系统包含所有第三方接口费等所有费用。</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b/>
              </w:rPr>
              <w:t>三、商务要求</w:t>
            </w:r>
          </w:p>
          <w:p>
            <w:pPr>
              <w:pStyle w:val="null3"/>
            </w:pPr>
            <w:r>
              <w:rPr>
                <w:rFonts w:ascii="仿宋_GB2312" w:hAnsi="仿宋_GB2312" w:cs="仿宋_GB2312" w:eastAsia="仿宋_GB2312"/>
                <w:sz w:val="24"/>
                <w:b/>
              </w:rPr>
              <w:t>1.</w:t>
            </w:r>
            <w:r>
              <w:rPr>
                <w:rFonts w:ascii="仿宋_GB2312" w:hAnsi="仿宋_GB2312" w:cs="仿宋_GB2312" w:eastAsia="仿宋_GB2312"/>
                <w:sz w:val="24"/>
                <w:b/>
              </w:rPr>
              <w:t>质保期：</w:t>
            </w:r>
            <w:r>
              <w:rPr>
                <w:rFonts w:ascii="仿宋_GB2312" w:hAnsi="仿宋_GB2312" w:cs="仿宋_GB2312" w:eastAsia="仿宋_GB2312"/>
                <w:sz w:val="24"/>
              </w:rPr>
              <w:t>系统上线后，软、硬件均提供不少于三年的质保</w:t>
            </w:r>
            <w:r>
              <w:rPr>
                <w:rFonts w:ascii="仿宋_GB2312" w:hAnsi="仿宋_GB2312" w:cs="仿宋_GB2312" w:eastAsia="仿宋_GB2312"/>
                <w:sz w:val="24"/>
              </w:rPr>
              <w:t>维护</w:t>
            </w:r>
            <w:r>
              <w:rPr>
                <w:rFonts w:ascii="仿宋_GB2312" w:hAnsi="仿宋_GB2312" w:cs="仿宋_GB2312" w:eastAsia="仿宋_GB2312"/>
                <w:sz w:val="24"/>
              </w:rPr>
              <w:t>和质保期内的</w:t>
            </w:r>
            <w:r>
              <w:rPr>
                <w:rFonts w:ascii="仿宋_GB2312" w:hAnsi="仿宋_GB2312" w:cs="仿宋_GB2312" w:eastAsia="仿宋_GB2312"/>
                <w:sz w:val="24"/>
              </w:rPr>
              <w:t>1人驻场维护</w:t>
            </w:r>
            <w:r>
              <w:rPr>
                <w:rFonts w:ascii="仿宋_GB2312" w:hAnsi="仿宋_GB2312" w:cs="仿宋_GB2312" w:eastAsia="仿宋_GB2312"/>
                <w:sz w:val="24"/>
              </w:rPr>
              <w:t>。</w:t>
            </w:r>
          </w:p>
          <w:p>
            <w:pPr>
              <w:pStyle w:val="null3"/>
            </w:pPr>
            <w:r>
              <w:rPr>
                <w:rFonts w:ascii="仿宋_GB2312" w:hAnsi="仿宋_GB2312" w:cs="仿宋_GB2312" w:eastAsia="仿宋_GB2312"/>
                <w:sz w:val="24"/>
                <w:b/>
              </w:rPr>
              <w:t>2.</w:t>
            </w:r>
            <w:r>
              <w:rPr>
                <w:rFonts w:ascii="仿宋_GB2312" w:hAnsi="仿宋_GB2312" w:cs="仿宋_GB2312" w:eastAsia="仿宋_GB2312"/>
                <w:sz w:val="24"/>
                <w:b/>
              </w:rPr>
              <w:t>服务级别协议（</w:t>
            </w:r>
            <w:r>
              <w:rPr>
                <w:rFonts w:ascii="仿宋_GB2312" w:hAnsi="仿宋_GB2312" w:cs="仿宋_GB2312" w:eastAsia="仿宋_GB2312"/>
                <w:sz w:val="24"/>
                <w:b/>
              </w:rPr>
              <w:t>SLA）：</w:t>
            </w:r>
            <w:r>
              <w:rPr>
                <w:rFonts w:ascii="仿宋_GB2312" w:hAnsi="仿宋_GB2312" w:cs="仿宋_GB2312" w:eastAsia="仿宋_GB2312"/>
                <w:sz w:val="24"/>
              </w:rPr>
              <w:t>提供</w:t>
            </w:r>
            <w:r>
              <w:rPr>
                <w:rFonts w:ascii="仿宋_GB2312" w:hAnsi="仿宋_GB2312" w:cs="仿宋_GB2312" w:eastAsia="仿宋_GB2312"/>
                <w:sz w:val="24"/>
              </w:rPr>
              <w:t>7x24小时故障应急响应。核心业务故障30分钟内响应，2小时内提出解决方案。非核心业务故障4小时内响应。</w:t>
            </w:r>
          </w:p>
          <w:p>
            <w:pPr>
              <w:pStyle w:val="null3"/>
            </w:pPr>
            <w:r>
              <w:rPr>
                <w:rFonts w:ascii="仿宋_GB2312" w:hAnsi="仿宋_GB2312" w:cs="仿宋_GB2312" w:eastAsia="仿宋_GB2312"/>
                <w:sz w:val="24"/>
                <w:b/>
              </w:rPr>
              <w:t>3.</w:t>
            </w:r>
            <w:r>
              <w:rPr>
                <w:rFonts w:ascii="仿宋_GB2312" w:hAnsi="仿宋_GB2312" w:cs="仿宋_GB2312" w:eastAsia="仿宋_GB2312"/>
                <w:sz w:val="24"/>
                <w:b/>
              </w:rPr>
              <w:t>系统升级：</w:t>
            </w:r>
            <w:r>
              <w:rPr>
                <w:rFonts w:ascii="仿宋_GB2312" w:hAnsi="仿宋_GB2312" w:cs="仿宋_GB2312" w:eastAsia="仿宋_GB2312"/>
                <w:sz w:val="24"/>
              </w:rPr>
              <w:t>质保</w:t>
            </w:r>
            <w:r>
              <w:rPr>
                <w:rFonts w:ascii="仿宋_GB2312" w:hAnsi="仿宋_GB2312" w:cs="仿宋_GB2312" w:eastAsia="仿宋_GB2312"/>
                <w:sz w:val="24"/>
              </w:rPr>
              <w:t>内，提供系统漏洞修复和版本升级服务</w:t>
            </w:r>
            <w:r>
              <w:rPr>
                <w:rFonts w:ascii="仿宋_GB2312" w:hAnsi="仿宋_GB2312" w:cs="仿宋_GB2312" w:eastAsia="仿宋_GB2312"/>
                <w:sz w:val="24"/>
              </w:rPr>
              <w:t>，相关费用包含在本次项目总报价中，不再另行支付</w:t>
            </w:r>
            <w:r>
              <w:rPr>
                <w:rFonts w:ascii="仿宋_GB2312" w:hAnsi="仿宋_GB2312" w:cs="仿宋_GB2312" w:eastAsia="仿宋_GB2312"/>
                <w:sz w:val="24"/>
              </w:rPr>
              <w:t>。</w:t>
            </w:r>
            <w:r>
              <w:rPr>
                <w:rFonts w:ascii="仿宋_GB2312" w:hAnsi="仿宋_GB2312" w:cs="仿宋_GB2312" w:eastAsia="仿宋_GB2312"/>
                <w:sz w:val="24"/>
              </w:rPr>
              <w:t>质保期</w:t>
            </w:r>
            <w:r>
              <w:rPr>
                <w:rFonts w:ascii="仿宋_GB2312" w:hAnsi="仿宋_GB2312" w:cs="仿宋_GB2312" w:eastAsia="仿宋_GB2312"/>
                <w:sz w:val="24"/>
              </w:rPr>
              <w:t>后，需提供合理的续费维护方案双方进行协商。</w:t>
            </w:r>
          </w:p>
          <w:p>
            <w:pPr>
              <w:pStyle w:val="null3"/>
            </w:pPr>
            <w:r>
              <w:rPr>
                <w:rFonts w:ascii="仿宋_GB2312" w:hAnsi="仿宋_GB2312" w:cs="仿宋_GB2312" w:eastAsia="仿宋_GB2312"/>
                <w:sz w:val="24"/>
                <w:b/>
              </w:rPr>
              <w:t>四</w:t>
            </w:r>
            <w:r>
              <w:rPr>
                <w:rFonts w:ascii="仿宋_GB2312" w:hAnsi="仿宋_GB2312" w:cs="仿宋_GB2312" w:eastAsia="仿宋_GB2312"/>
                <w:sz w:val="24"/>
                <w:b/>
              </w:rPr>
              <w:t>、需执行的国家相关标准、行业标准、地方标准或者其他标准、规范</w:t>
            </w:r>
          </w:p>
          <w:p>
            <w:pPr>
              <w:pStyle w:val="null3"/>
            </w:pPr>
            <w:r>
              <w:rPr>
                <w:rFonts w:ascii="仿宋_GB2312" w:hAnsi="仿宋_GB2312" w:cs="仿宋_GB2312" w:eastAsia="仿宋_GB2312"/>
                <w:sz w:val="24"/>
              </w:rPr>
              <w:t>需执行国家相关标准、行业标准、地方标准或者其他标准、规范的，则统一执行最新标准、规范。</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满足本项目服务需求的人员配置。</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满足本项目服务需求的设施设备。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渭南市妇幼保健院指定地点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①服务质量必须达到甲方招标文件和乙方投标文件的标准；②质量达到国家相关标准；③其他要求详见合同文本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验收合格通过之日起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投标人应提供的资格证明材料.docx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投标人应提供的资格证明材料.docx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供应商为向采购人提供相关服务的法人或其他组织</w:t>
            </w:r>
          </w:p>
        </w:tc>
        <w:tc>
          <w:tcPr>
            <w:tcW w:type="dxa" w:w="1661"/>
          </w:tcPr>
          <w:p>
            <w:pPr>
              <w:pStyle w:val="null3"/>
            </w:pPr>
            <w:r>
              <w:rPr>
                <w:rFonts w:ascii="仿宋_GB2312" w:hAnsi="仿宋_GB2312" w:cs="仿宋_GB2312" w:eastAsia="仿宋_GB2312"/>
              </w:rPr>
              <w:t>投标人应提供的资格证明材料.docx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投标人未被“信用中国”网站列入失信被执行人、重大税收违法失信主体名单，未被“中国政府采购网”网站列入政府采购严重违法失信行为记录名单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投标人应提供的资格证明材料.docx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 （6）本项目为非专门面向中小企业采购。</w:t>
            </w:r>
          </w:p>
        </w:tc>
        <w:tc>
          <w:tcPr>
            <w:tcW w:type="dxa" w:w="1661"/>
          </w:tcPr>
          <w:p>
            <w:pPr>
              <w:pStyle w:val="null3"/>
            </w:pPr>
            <w:r>
              <w:rPr>
                <w:rFonts w:ascii="仿宋_GB2312" w:hAnsi="仿宋_GB2312" w:cs="仿宋_GB2312" w:eastAsia="仿宋_GB2312"/>
              </w:rPr>
              <w:t>投标函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商务应答表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投标文件是否按招标文件要求签署、盖章的</w:t>
            </w:r>
          </w:p>
        </w:tc>
        <w:tc>
          <w:tcPr>
            <w:tcW w:type="dxa" w:w="3322"/>
          </w:tcPr>
          <w:p>
            <w:pPr>
              <w:pStyle w:val="null3"/>
            </w:pPr>
            <w:r>
              <w:rPr>
                <w:rFonts w:ascii="仿宋_GB2312" w:hAnsi="仿宋_GB2312" w:cs="仿宋_GB2312" w:eastAsia="仿宋_GB2312"/>
              </w:rPr>
              <w:t>投标文件是否按招标文件要求签署、盖章的</w:t>
            </w:r>
          </w:p>
        </w:tc>
        <w:tc>
          <w:tcPr>
            <w:tcW w:type="dxa" w:w="1661"/>
          </w:tcPr>
          <w:p>
            <w:pPr>
              <w:pStyle w:val="null3"/>
            </w:pPr>
            <w:r>
              <w:rPr>
                <w:rFonts w:ascii="仿宋_GB2312" w:hAnsi="仿宋_GB2312" w:cs="仿宋_GB2312" w:eastAsia="仿宋_GB2312"/>
              </w:rPr>
              <w:t>开标一览表 投标人应提供的资格证明材料.docx 服务内容及服务邀请应答表 投标函 中小企业声明函 法定代表人证明书及授权书.docx 残疾人福利性单位声明函 商务应答表 标的清单 承诺书.docx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报价是否超过招标文件中规定的最高限价的</w:t>
            </w:r>
          </w:p>
        </w:tc>
        <w:tc>
          <w:tcPr>
            <w:tcW w:type="dxa" w:w="3322"/>
          </w:tcPr>
          <w:p>
            <w:pPr>
              <w:pStyle w:val="null3"/>
            </w:pPr>
            <w:r>
              <w:rPr>
                <w:rFonts w:ascii="仿宋_GB2312" w:hAnsi="仿宋_GB2312" w:cs="仿宋_GB2312" w:eastAsia="仿宋_GB2312"/>
              </w:rPr>
              <w:t>报价未超过招标文件中规定的最高限价的</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投标文件是否含有采购人不能接受的附加条件的或其他情形</w:t>
            </w:r>
          </w:p>
        </w:tc>
        <w:tc>
          <w:tcPr>
            <w:tcW w:type="dxa" w:w="3322"/>
          </w:tcPr>
          <w:p>
            <w:pPr>
              <w:pStyle w:val="null3"/>
            </w:pPr>
            <w:r>
              <w:rPr>
                <w:rFonts w:ascii="仿宋_GB2312" w:hAnsi="仿宋_GB2312" w:cs="仿宋_GB2312" w:eastAsia="仿宋_GB2312"/>
              </w:rPr>
              <w:t>投标文件未含有招标人不能接受的附加条件的或其他情形</w:t>
            </w:r>
          </w:p>
        </w:tc>
        <w:tc>
          <w:tcPr>
            <w:tcW w:type="dxa" w:w="1661"/>
          </w:tcPr>
          <w:p>
            <w:pPr>
              <w:pStyle w:val="null3"/>
            </w:pPr>
            <w:r>
              <w:rPr>
                <w:rFonts w:ascii="仿宋_GB2312" w:hAnsi="仿宋_GB2312" w:cs="仿宋_GB2312" w:eastAsia="仿宋_GB2312"/>
              </w:rPr>
              <w:t>服务内容及服务邀请应答表 商务应答表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是否发现法律、法规和招标文件规定的其他无效情形</w:t>
            </w:r>
          </w:p>
        </w:tc>
        <w:tc>
          <w:tcPr>
            <w:tcW w:type="dxa" w:w="3322"/>
          </w:tcPr>
          <w:p>
            <w:pPr>
              <w:pStyle w:val="null3"/>
            </w:pPr>
            <w:r>
              <w:rPr>
                <w:rFonts w:ascii="仿宋_GB2312" w:hAnsi="仿宋_GB2312" w:cs="仿宋_GB2312" w:eastAsia="仿宋_GB2312"/>
              </w:rPr>
              <w:t>未发现法律、法规和招标文件规定的其他无效情形</w:t>
            </w:r>
          </w:p>
        </w:tc>
        <w:tc>
          <w:tcPr>
            <w:tcW w:type="dxa" w:w="1661"/>
          </w:tcPr>
          <w:p>
            <w:pPr>
              <w:pStyle w:val="null3"/>
            </w:pPr>
            <w:r>
              <w:rPr>
                <w:rFonts w:ascii="仿宋_GB2312" w:hAnsi="仿宋_GB2312" w:cs="仿宋_GB2312" w:eastAsia="仿宋_GB2312"/>
              </w:rPr>
              <w:t>投标函 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法定代表人或合法授权代表证明</w:t>
            </w:r>
          </w:p>
        </w:tc>
        <w:tc>
          <w:tcPr>
            <w:tcW w:type="dxa" w:w="3322"/>
          </w:tcPr>
          <w:p>
            <w:pPr>
              <w:pStyle w:val="null3"/>
            </w:pPr>
            <w:r>
              <w:rPr>
                <w:rFonts w:ascii="仿宋_GB2312" w:hAnsi="仿宋_GB2312" w:cs="仿宋_GB2312" w:eastAsia="仿宋_GB2312"/>
              </w:rPr>
              <w:t>法定代表人参加开标会议的，应出具法定代表人证明书。法定代表人授权合法授权代表参加开标会议的，应出具法定代表人证明书、法定代表人授权书，同时提供截至投标文件递交截止时间前6个月内任意1个月的社保缴纳证明材料；</w:t>
            </w:r>
          </w:p>
        </w:tc>
        <w:tc>
          <w:tcPr>
            <w:tcW w:type="dxa" w:w="1661"/>
          </w:tcPr>
          <w:p>
            <w:pPr>
              <w:pStyle w:val="null3"/>
            </w:pPr>
            <w:r>
              <w:rPr>
                <w:rFonts w:ascii="仿宋_GB2312" w:hAnsi="仿宋_GB2312" w:cs="仿宋_GB2312" w:eastAsia="仿宋_GB2312"/>
              </w:rPr>
              <w:t>法定代表人证明书及授权书.docx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投标文件是否响应本项目商务要求及服务内容及要求中的标记“★”条款</w:t>
            </w:r>
          </w:p>
        </w:tc>
        <w:tc>
          <w:tcPr>
            <w:tcW w:type="dxa" w:w="3322"/>
          </w:tcPr>
          <w:p>
            <w:pPr>
              <w:pStyle w:val="null3"/>
            </w:pPr>
            <w:r>
              <w:rPr>
                <w:rFonts w:ascii="仿宋_GB2312" w:hAnsi="仿宋_GB2312" w:cs="仿宋_GB2312" w:eastAsia="仿宋_GB2312"/>
              </w:rPr>
              <w:t>投标文件响应本项目商务要求及采购内容及要求中的标记“★”条款</w:t>
            </w:r>
          </w:p>
        </w:tc>
        <w:tc>
          <w:tcPr>
            <w:tcW w:type="dxa" w:w="1661"/>
          </w:tcPr>
          <w:p>
            <w:pPr>
              <w:pStyle w:val="null3"/>
            </w:pPr>
            <w:r>
              <w:rPr>
                <w:rFonts w:ascii="仿宋_GB2312" w:hAnsi="仿宋_GB2312" w:cs="仿宋_GB2312" w:eastAsia="仿宋_GB2312"/>
              </w:rPr>
              <w:t>开标一览表 投标函 中小企业声明函 商务应答表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服务要求的响应</w:t>
            </w:r>
          </w:p>
        </w:tc>
        <w:tc>
          <w:tcPr>
            <w:tcW w:type="dxa" w:w="2492"/>
          </w:tcPr>
          <w:p>
            <w:pPr>
              <w:pStyle w:val="null3"/>
            </w:pPr>
            <w:r>
              <w:rPr>
                <w:rFonts w:ascii="仿宋_GB2312" w:hAnsi="仿宋_GB2312" w:cs="仿宋_GB2312" w:eastAsia="仿宋_GB2312"/>
              </w:rPr>
              <w:t>根据供应商针对服务要求响应情况进行评审，完全响应并满足服务要求的得21分，有一项未响应或不满足采购需求的扣0.2分，扣完为止。 备注：相应的各服务要求均需提供佐证材料。佐证材料为供应商认为可以佐证参数响应性的材料。供应商对材料的真实性、完整性、有效性及针对性承担责任，自行承担因材料提供不全导致服务要求被认定为不满足或负偏离的风险。</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整体服务的思路及要点</w:t>
            </w:r>
          </w:p>
        </w:tc>
        <w:tc>
          <w:tcPr>
            <w:tcW w:type="dxa" w:w="2492"/>
          </w:tcPr>
          <w:p>
            <w:pPr>
              <w:pStyle w:val="null3"/>
            </w:pPr>
            <w:r>
              <w:rPr>
                <w:rFonts w:ascii="仿宋_GB2312" w:hAnsi="仿宋_GB2312" w:cs="仿宋_GB2312" w:eastAsia="仿宋_GB2312"/>
              </w:rPr>
              <w:t>供应商提供的整体服务的思路及要点需包含①核心需求把握度；②重难点深度分析及需求适配针对性，共2项内容，每项满分3分，总分6分。 其中，每项以具体内容与本项目及所投产品的针对性、可行性、方案完善性作为采分点；每个采分点按照1分、0.8分、0.5分、0.3分、0.1分、0分作为具体赋分分值，完全符合采分点要求的得1分，存在个别瑕疵但是符合采分点要素的得0.8分，基本符合采分点要求但是存在一定不足的得0.5分，存在明显不符合采分点要求的得0.3分，完全不符合采分点要求的得0.1分，未响应相应内容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整体服务的思路及要点.docx</w:t>
            </w:r>
          </w:p>
        </w:tc>
      </w:tr>
      <w:tr>
        <w:tc>
          <w:tcPr>
            <w:tcW w:type="dxa" w:w="831"/>
            <w:vMerge/>
          </w:tcPr>
          <w:p/>
        </w:tc>
        <w:tc>
          <w:tcPr>
            <w:tcW w:type="dxa" w:w="1661"/>
          </w:tcPr>
          <w:p>
            <w:pPr>
              <w:pStyle w:val="null3"/>
            </w:pPr>
            <w:r>
              <w:rPr>
                <w:rFonts w:ascii="仿宋_GB2312" w:hAnsi="仿宋_GB2312" w:cs="仿宋_GB2312" w:eastAsia="仿宋_GB2312"/>
              </w:rPr>
              <w:t>服务质量的保障措施</w:t>
            </w:r>
          </w:p>
        </w:tc>
        <w:tc>
          <w:tcPr>
            <w:tcW w:type="dxa" w:w="2492"/>
          </w:tcPr>
          <w:p>
            <w:pPr>
              <w:pStyle w:val="null3"/>
            </w:pPr>
            <w:r>
              <w:rPr>
                <w:rFonts w:ascii="仿宋_GB2312" w:hAnsi="仿宋_GB2312" w:cs="仿宋_GB2312" w:eastAsia="仿宋_GB2312"/>
              </w:rPr>
              <w:t>供应商提供的服务质量保障措施方案需包含①核心环节质量管控措施；②整改机制及完善的售后服务体系，共2项内容，每项满分3分，总分6分。 其中，每项以具体内容与本项目及所投产品的针对性、可行性、方案完善性作为采分点；每个采分点按照1分、0.8分、0.5分、0.3分、0.1分、0分作为具体赋分分值，完全符合采分点要求的得1分，存在个别瑕疵但是符合采分点要素的得0.8分，基本符合采分点要求但是存在一定不足的得0.5分，存在明显不符合采分点要求的得0.3分，完全不符合采分点要求的得0.1分，未响应相应内容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服务质量的保障措施.docx</w:t>
            </w:r>
          </w:p>
        </w:tc>
      </w:tr>
      <w:tr>
        <w:tc>
          <w:tcPr>
            <w:tcW w:type="dxa" w:w="831"/>
            <w:vMerge/>
          </w:tcPr>
          <w:p/>
        </w:tc>
        <w:tc>
          <w:tcPr>
            <w:tcW w:type="dxa" w:w="1661"/>
          </w:tcPr>
          <w:p>
            <w:pPr>
              <w:pStyle w:val="null3"/>
            </w:pPr>
            <w:r>
              <w:rPr>
                <w:rFonts w:ascii="仿宋_GB2312" w:hAnsi="仿宋_GB2312" w:cs="仿宋_GB2312" w:eastAsia="仿宋_GB2312"/>
              </w:rPr>
              <w:t>服务开展的组织措施及制度</w:t>
            </w:r>
          </w:p>
        </w:tc>
        <w:tc>
          <w:tcPr>
            <w:tcW w:type="dxa" w:w="2492"/>
          </w:tcPr>
          <w:p>
            <w:pPr>
              <w:pStyle w:val="null3"/>
            </w:pPr>
            <w:r>
              <w:rPr>
                <w:rFonts w:ascii="仿宋_GB2312" w:hAnsi="仿宋_GB2312" w:cs="仿宋_GB2312" w:eastAsia="仿宋_GB2312"/>
              </w:rPr>
              <w:t>供应商提供的服务开展的组织措施及制度方案需包含①组织机构方案及有关管理制度；②应急保障能力，共2项内容，每项满分3分，总分6分。 其中，每项以具体内容与本项目及所投产品的针对性、可行性、方案完善性作为采分点；每个采分点按照1分、0.8分、0.5分、0.3分、0.1分、0分作为具体赋分分值，完全符合采分点要求的得1分，存在个别瑕疵但是符合采分点要素的得0.8分，基本符合采分点要求但是存在一定不足的得0.5分，存在明显不符合采分点要求的得0.3分，完全不符合采分点要求的得0.1分，未响应相应内容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服务开展的组织措施及制度.docx</w:t>
            </w:r>
          </w:p>
        </w:tc>
      </w:tr>
      <w:tr>
        <w:tc>
          <w:tcPr>
            <w:tcW w:type="dxa" w:w="831"/>
            <w:vMerge/>
          </w:tcPr>
          <w:p/>
        </w:tc>
        <w:tc>
          <w:tcPr>
            <w:tcW w:type="dxa" w:w="1661"/>
          </w:tcPr>
          <w:p>
            <w:pPr>
              <w:pStyle w:val="null3"/>
            </w:pPr>
            <w:r>
              <w:rPr>
                <w:rFonts w:ascii="仿宋_GB2312" w:hAnsi="仿宋_GB2312" w:cs="仿宋_GB2312" w:eastAsia="仿宋_GB2312"/>
              </w:rPr>
              <w:t>服务开展的流程及规范</w:t>
            </w:r>
          </w:p>
        </w:tc>
        <w:tc>
          <w:tcPr>
            <w:tcW w:type="dxa" w:w="2492"/>
          </w:tcPr>
          <w:p>
            <w:pPr>
              <w:pStyle w:val="null3"/>
            </w:pPr>
            <w:r>
              <w:rPr>
                <w:rFonts w:ascii="仿宋_GB2312" w:hAnsi="仿宋_GB2312" w:cs="仿宋_GB2312" w:eastAsia="仿宋_GB2312"/>
              </w:rPr>
              <w:t>供应商提供的服务开展的流程及规范方案需包含①服务流程及实施；②各环节衔接保障措施及内外部沟通机制，共2项内容，每项满分3分，总分6分。 其中，每项以具体内容与本项目及所投产品的针对性、可行性、方案完善性作为采分点；每个采分点按照1分、0.8分、0.5分、0.3分、0.1分、0分作为具体赋分分值，完全符合采分点要求的得1分，存在个别瑕疵但是符合采分点要素的得0.8分，基本符合采分点要求但是存在一定不足的得0.5分，存在明显不符合采分点要求的得0.3分，完全不符合采分点要求的得0.1分，未响应相应内容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服务开展的流程及规范.docx</w:t>
            </w:r>
          </w:p>
        </w:tc>
      </w:tr>
      <w:tr>
        <w:tc>
          <w:tcPr>
            <w:tcW w:type="dxa" w:w="831"/>
            <w:vMerge/>
          </w:tcPr>
          <w:p/>
        </w:tc>
        <w:tc>
          <w:tcPr>
            <w:tcW w:type="dxa" w:w="1661"/>
          </w:tcPr>
          <w:p>
            <w:pPr>
              <w:pStyle w:val="null3"/>
            </w:pPr>
            <w:r>
              <w:rPr>
                <w:rFonts w:ascii="仿宋_GB2312" w:hAnsi="仿宋_GB2312" w:cs="仿宋_GB2312" w:eastAsia="仿宋_GB2312"/>
              </w:rPr>
              <w:t>服务团队配备情况</w:t>
            </w:r>
          </w:p>
        </w:tc>
        <w:tc>
          <w:tcPr>
            <w:tcW w:type="dxa" w:w="2492"/>
          </w:tcPr>
          <w:p>
            <w:pPr>
              <w:pStyle w:val="null3"/>
            </w:pPr>
            <w:r>
              <w:rPr>
                <w:rFonts w:ascii="仿宋_GB2312" w:hAnsi="仿宋_GB2312" w:cs="仿宋_GB2312" w:eastAsia="仿宋_GB2312"/>
              </w:rPr>
              <w:t>供应商提供的服务团队配备情况需包含①人员配置情况表；②核心成员具备的专业资质及同类项目服务经验；③各流程节点岗位职责划分及岗位管理机制，共3项内容，每项满分3分，总分9分。 其中，每项以具体内容与本项目及所投产品的针对性、可行性、方案完善性作为采分点；每个采分点按照1分、0.8分、0.5分、0.3分、0.1分、0分作为具体赋分分值，完全符合采分点要求的得1分，存在个别瑕疵但是符合采分点要素的得0.8分，基本符合采分点要求但是存在一定不足的得0.5分，存在明显不符合采分点要求的得0.3分，完全不符合采分点要求的得0.1分，未响应相应内容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服务团队配备情况.docx</w:t>
            </w:r>
          </w:p>
        </w:tc>
      </w:tr>
      <w:tr>
        <w:tc>
          <w:tcPr>
            <w:tcW w:type="dxa" w:w="831"/>
            <w:vMerge/>
          </w:tcPr>
          <w:p/>
        </w:tc>
        <w:tc>
          <w:tcPr>
            <w:tcW w:type="dxa" w:w="1661"/>
          </w:tcPr>
          <w:p>
            <w:pPr>
              <w:pStyle w:val="null3"/>
            </w:pPr>
            <w:r>
              <w:rPr>
                <w:rFonts w:ascii="仿宋_GB2312" w:hAnsi="仿宋_GB2312" w:cs="仿宋_GB2312" w:eastAsia="仿宋_GB2312"/>
              </w:rPr>
              <w:t>项目配套服务设备</w:t>
            </w:r>
          </w:p>
        </w:tc>
        <w:tc>
          <w:tcPr>
            <w:tcW w:type="dxa" w:w="2492"/>
          </w:tcPr>
          <w:p>
            <w:pPr>
              <w:pStyle w:val="null3"/>
            </w:pPr>
            <w:r>
              <w:rPr>
                <w:rFonts w:ascii="仿宋_GB2312" w:hAnsi="仿宋_GB2312" w:cs="仿宋_GB2312" w:eastAsia="仿宋_GB2312"/>
              </w:rPr>
              <w:t>供应商提供的项目配套服务设备需包含①项目配套服务设备配置情况表、性能及运行状态；②项目配套服务设备的运维及备用方案，共2项内容，每项满分3分，总分6分。 其中，每项以具体内容与本项目及所投产品的针对性、可行性、方案完善性作为采分点；每个采分点按照1分、0.8分、0.5分、0.3分、0.1分、0分作为具体赋分分值，完全符合采分点要求的得1分，存在个别瑕疵但是符合采分点要素的得0.8分，基本符合采分点要求但是存在一定不足的得0.5分，存在明显不符合采分点要求的得0.3分，完全不符合采分点要求的得0.1分，未响应相应内容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项目配套服务设备.docx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供应商应在投标文件中提供该供应商近三年类似业绩证明材料，每提供一份业绩合同得5分，满分为20分，不得重复累计。 注：以合同签订时间为准，投标人应在投标文件中提供业绩合同复印件或扫描件且加盖单位公章。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投标报价采用低价优先法计算，即满足招标文件要求且投标报价最低的报价为评审基准价，其价格分为满分。其他供应商人的价格分统一按照下列公式计算：投标报价得分=（评审基准价/投标报价）×20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详见附件：服务开展的流程及规范.docx</w:t>
      </w:r>
    </w:p>
    <w:p>
      <w:pPr>
        <w:pStyle w:val="null3"/>
        <w:ind w:firstLine="960"/>
      </w:pPr>
      <w:r>
        <w:rPr>
          <w:rFonts w:ascii="仿宋_GB2312" w:hAnsi="仿宋_GB2312" w:cs="仿宋_GB2312" w:eastAsia="仿宋_GB2312"/>
        </w:rPr>
        <w:t>详见附件：服务开展的组织措施及制度.docx</w:t>
      </w:r>
    </w:p>
    <w:p>
      <w:pPr>
        <w:pStyle w:val="null3"/>
        <w:ind w:firstLine="960"/>
      </w:pPr>
      <w:r>
        <w:rPr>
          <w:rFonts w:ascii="仿宋_GB2312" w:hAnsi="仿宋_GB2312" w:cs="仿宋_GB2312" w:eastAsia="仿宋_GB2312"/>
        </w:rPr>
        <w:t>详见附件：服务团队配备情况.docx</w:t>
      </w:r>
    </w:p>
    <w:p>
      <w:pPr>
        <w:pStyle w:val="null3"/>
        <w:ind w:firstLine="960"/>
      </w:pPr>
      <w:r>
        <w:rPr>
          <w:rFonts w:ascii="仿宋_GB2312" w:hAnsi="仿宋_GB2312" w:cs="仿宋_GB2312" w:eastAsia="仿宋_GB2312"/>
        </w:rPr>
        <w:t>详见附件：服务质量的保障措施.docx</w:t>
      </w:r>
    </w:p>
    <w:p>
      <w:pPr>
        <w:pStyle w:val="null3"/>
        <w:ind w:firstLine="960"/>
      </w:pPr>
      <w:r>
        <w:rPr>
          <w:rFonts w:ascii="仿宋_GB2312" w:hAnsi="仿宋_GB2312" w:cs="仿宋_GB2312" w:eastAsia="仿宋_GB2312"/>
        </w:rPr>
        <w:t>详见附件：项目配套服务设备.docx</w:t>
      </w:r>
    </w:p>
    <w:p>
      <w:pPr>
        <w:pStyle w:val="null3"/>
        <w:ind w:firstLine="960"/>
      </w:pPr>
      <w:r>
        <w:rPr>
          <w:rFonts w:ascii="仿宋_GB2312" w:hAnsi="仿宋_GB2312" w:cs="仿宋_GB2312" w:eastAsia="仿宋_GB2312"/>
        </w:rPr>
        <w:t>详见附件：整体服务的思路及要点.docx</w:t>
      </w:r>
    </w:p>
    <w:p>
      <w:pPr>
        <w:pStyle w:val="null3"/>
        <w:ind w:firstLine="960"/>
      </w:pPr>
      <w:r>
        <w:rPr>
          <w:rFonts w:ascii="仿宋_GB2312" w:hAnsi="仿宋_GB2312" w:cs="仿宋_GB2312" w:eastAsia="仿宋_GB2312"/>
        </w:rPr>
        <w:t>详见附件：法定代表人证明书及授权书.docx</w:t>
      </w:r>
    </w:p>
    <w:p>
      <w:pPr>
        <w:pStyle w:val="null3"/>
        <w:ind w:firstLine="960"/>
      </w:pPr>
      <w:r>
        <w:rPr>
          <w:rFonts w:ascii="仿宋_GB2312" w:hAnsi="仿宋_GB2312" w:cs="仿宋_GB2312" w:eastAsia="仿宋_GB2312"/>
        </w:rPr>
        <w:t>详见附件：投标人应提供的资格证明材料.docx</w:t>
      </w:r>
    </w:p>
    <w:p>
      <w:pPr>
        <w:pStyle w:val="null3"/>
        <w:ind w:firstLine="960"/>
      </w:pPr>
      <w:r>
        <w:rPr>
          <w:rFonts w:ascii="仿宋_GB2312" w:hAnsi="仿宋_GB2312" w:cs="仿宋_GB2312" w:eastAsia="仿宋_GB2312"/>
        </w:rPr>
        <w:t>详见附件：类似业绩.docx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