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版本号：ZLGL-2025-ZC02220251229001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西岳庙基本陈列(含智取华山革命事迹展)提升改造项目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ZLGL-2025-ZC022</w:t>
      </w:r>
      <w:r>
        <w:br/>
      </w:r>
      <w:r>
        <w:br/>
      </w:r>
      <w:r>
        <w:br/>
      </w:r>
    </w:p>
    <w:p>
      <w:pPr>
        <w:pStyle w:val="null3"/>
        <w:jc w:val="center"/>
        <w:outlineLvl w:val="2"/>
      </w:pPr>
      <w:r>
        <w:rPr>
          <w:rFonts w:ascii="仿宋_GB2312" w:hAnsi="仿宋_GB2312" w:cs="仿宋_GB2312" w:eastAsia="仿宋_GB2312"/>
          <w:sz w:val="28"/>
          <w:b/>
        </w:rPr>
        <w:t>西岳庙文物管理处</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西岳庙文物管理处</w:t>
      </w:r>
      <w:r>
        <w:rPr>
          <w:rFonts w:ascii="仿宋_GB2312" w:hAnsi="仿宋_GB2312" w:cs="仿宋_GB2312" w:eastAsia="仿宋_GB2312"/>
        </w:rPr>
        <w:t>委托，拟对</w:t>
      </w:r>
      <w:r>
        <w:rPr>
          <w:rFonts w:ascii="仿宋_GB2312" w:hAnsi="仿宋_GB2312" w:cs="仿宋_GB2312" w:eastAsia="仿宋_GB2312"/>
        </w:rPr>
        <w:t>西岳庙基本陈列(含智取华山革命事迹展)提升改造项目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ZLGL-2025-ZC022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西岳庙基本陈列(含智取华山革命事迹展)提升改造项目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西岳庙基本陈列(含智取华山革命事迹展)提升改造项目位于陕西省渭南市华阴市西岳庙文物管理处，展厅面积约1350㎡(其中基本陈列约1200㎡、革命事迹展约 150㎡)，工期要求:合同签订后180日历天。展览功能要求:内容与形式的设计、基础装修改造、陈列布展、空调及安防消防改造等。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采购包1（西岳庙基本陈列(含智取华山革命事迹展)提升改造项目）：属于专门面向中小企业采购。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1、营业执照：提供供应商合法注册的法人或其他组织的营业执照等证明文件或自然人的身份证明</w:t>
      </w:r>
    </w:p>
    <w:p>
      <w:pPr>
        <w:pStyle w:val="null3"/>
      </w:pPr>
      <w:r>
        <w:rPr>
          <w:rFonts w:ascii="仿宋_GB2312" w:hAnsi="仿宋_GB2312" w:cs="仿宋_GB2312" w:eastAsia="仿宋_GB2312"/>
        </w:rPr>
        <w:t>2、财务状况报告：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3、税收缴纳证明：提供截止至开标时间前一年内任意一个月的缴纳凭据:(依法免税的投标人应提供相关文件证明)</w:t>
      </w:r>
    </w:p>
    <w:p>
      <w:pPr>
        <w:pStyle w:val="null3"/>
      </w:pPr>
      <w:r>
        <w:rPr>
          <w:rFonts w:ascii="仿宋_GB2312" w:hAnsi="仿宋_GB2312" w:cs="仿宋_GB2312" w:eastAsia="仿宋_GB2312"/>
        </w:rPr>
        <w:t>4、社会保障资金缴纳证明：提供截止至开标时间前一年内任意一个月的社保缴纳凭据或社保机构开具的社会保险参保缴纳情况证明;(依法不需要缴纳社会保障资金的投标人应提供相关证明)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5、承诺书：提供具有履行本合同所必需的设备和专业技术能力的说明及承诺:(提供书面说明及承诺，加盖投标人公章)</w:t>
      </w:r>
    </w:p>
    <w:p>
      <w:pPr>
        <w:pStyle w:val="null3"/>
      </w:pPr>
      <w:r>
        <w:rPr>
          <w:rFonts w:ascii="仿宋_GB2312" w:hAnsi="仿宋_GB2312" w:cs="仿宋_GB2312" w:eastAsia="仿宋_GB2312"/>
        </w:rPr>
        <w:t>6、资质要求：投标人须同时具备以下资质：①具有建筑装饰工程设计专项乙级及以上资质； ②具有建筑装修装饰工程专业承包二级资质及以上；具备有效的安全生产许可证;</w:t>
      </w:r>
    </w:p>
    <w:p>
      <w:pPr>
        <w:pStyle w:val="null3"/>
      </w:pPr>
      <w:r>
        <w:rPr>
          <w:rFonts w:ascii="仿宋_GB2312" w:hAnsi="仿宋_GB2312" w:cs="仿宋_GB2312" w:eastAsia="仿宋_GB2312"/>
        </w:rPr>
        <w:t>7、项目经理资格要求：拟派项目经理具备建筑工程专业二级及以上注册建造师执业资格并具备有效的安全生产考核合格证，且在本单位注册(提供近六个月在本单位缴纳的社保证明)，无在建项目(提供承诺书)；</w:t>
      </w:r>
    </w:p>
    <w:p>
      <w:pPr>
        <w:pStyle w:val="null3"/>
      </w:pPr>
      <w:r>
        <w:rPr>
          <w:rFonts w:ascii="仿宋_GB2312" w:hAnsi="仿宋_GB2312" w:cs="仿宋_GB2312" w:eastAsia="仿宋_GB2312"/>
        </w:rPr>
        <w:t>8、项目设计负责人：项目设计负责人具有建筑类或设计或环境艺术类相关专业中级及以上职称(提供近六个月在本单位缴纳的社保证明)；</w:t>
      </w:r>
    </w:p>
    <w:p>
      <w:pPr>
        <w:pStyle w:val="null3"/>
      </w:pPr>
      <w:r>
        <w:rPr>
          <w:rFonts w:ascii="仿宋_GB2312" w:hAnsi="仿宋_GB2312" w:cs="仿宋_GB2312" w:eastAsia="仿宋_GB2312"/>
        </w:rPr>
        <w:t>9、重大违法记录的书面声明：提供参加政府采购活动前三年内在经营活动中没有重大违法记录的书面声明。(提供书面声明，加盖投标人公章)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10、法定代表人资格证明书或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11、信用信息：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pStyle w:val="null3"/>
      </w:pPr>
      <w:r>
        <w:rPr>
          <w:rFonts w:ascii="仿宋_GB2312" w:hAnsi="仿宋_GB2312" w:cs="仿宋_GB2312" w:eastAsia="仿宋_GB2312"/>
        </w:rPr>
        <w:t>12、控股关系：单位负责人为同一人或者存在直接控股、管理关系的不同投标人，不得参加同一合同项下的政府采购活动。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13、联合体：本项目不接受联合体投标（提供承诺书）；供应商需在项目电子化交易系统中按要求上传相应证明文件并进行电子签章。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西岳庙文物管理处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华阴市西岳庙文物管理处岳庙街东段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武小鹏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18628558853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曹天天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029-87543079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开户名称：陕西正林项目管理有限公司</w:t>
            </w:r>
          </w:p>
          <w:p>
            <w:pPr>
              <w:pStyle w:val="null3"/>
            </w:pPr>
            <w:r>
              <w:rPr>
                <w:rFonts w:ascii="仿宋_GB2312" w:hAnsi="仿宋_GB2312" w:cs="仿宋_GB2312" w:eastAsia="仿宋_GB2312"/>
              </w:rPr>
              <w:t>开户银行：中国建设银行股份有限公司西安莲湖路支行</w:t>
            </w:r>
          </w:p>
          <w:p>
            <w:pPr>
              <w:pStyle w:val="null3"/>
            </w:pPr>
            <w:r>
              <w:rPr>
                <w:rFonts w:ascii="仿宋_GB2312" w:hAnsi="仿宋_GB2312" w:cs="仿宋_GB2312" w:eastAsia="仿宋_GB2312"/>
              </w:rPr>
              <w:t>银行账号：61001713500059090300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国家计委关于印发&lt;招标代理服务收费管理暂行办法&gt;的通知》(计价格〔2002〕1980号)、《国家发展改革委关于降低部分建设项目收费标准规范收费行为等有关问题的通知》(发改价格〔2011〕534号)的规定收费标准计取（计算基数按中标价计算）。政府采购代理服务费由中标（成交）人在领取中标（成交）通知书前一次性支付给政府采购代理机构。 收款单位：陕西正林项目管理有限公司 开 户 行：中国建设银行股份有限公司西安莲湖路支行 账 号：61001713500059090300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西岳庙文物管理处</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西岳庙文物管理处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西岳庙文物管理处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联系人：曹天天</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西岳庙基本陈列(含智取华山革命事迹展)提升改造项目位于陕西省渭南市华阴市西岳庙文物管理处，展厅面积约1350㎡(其中基本陈列约1200㎡、革命事迹展约 150㎡)，工期要求:合同签订之日起180日历天。展览功能要求:内容与形式的设计、基础装修改造、陈列布展、空调及安防消防改造等。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6,500,000.00</w:t>
      </w:r>
    </w:p>
    <w:p>
      <w:pPr>
        <w:pStyle w:val="null3"/>
      </w:pPr>
      <w:r>
        <w:rPr>
          <w:rFonts w:ascii="仿宋_GB2312" w:hAnsi="仿宋_GB2312" w:cs="仿宋_GB2312" w:eastAsia="仿宋_GB2312"/>
        </w:rPr>
        <w:t>采购包最高限价（元）: 6,500,000.00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西岳庙基本陈列(含智取华山革命事迹展)提升改造项目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标的名称：西岳庙基本陈列(含智取华山革命事迹展)提升改造项目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一、服务要求</w:t>
            </w:r>
          </w:p>
          <w:p>
            <w:pPr>
              <w:pStyle w:val="null3"/>
              <w:ind w:firstLine="221"/>
            </w:pPr>
            <w:r>
              <w:rPr>
                <w:rFonts w:ascii="仿宋_GB2312" w:hAnsi="仿宋_GB2312" w:cs="仿宋_GB2312" w:eastAsia="仿宋_GB2312"/>
                <w:b/>
              </w:rPr>
              <w:t>1、</w:t>
            </w:r>
            <w:r>
              <w:rPr>
                <w:rFonts w:ascii="仿宋_GB2312" w:hAnsi="仿宋_GB2312" w:cs="仿宋_GB2312" w:eastAsia="仿宋_GB2312"/>
                <w:b/>
              </w:rPr>
              <w:t>需执行的国家相关标准、行业标准、地方标准或者其他标准、规范标准供应商应根据采购需求执行下列相关标准</w:t>
            </w:r>
            <w:r>
              <w:rPr>
                <w:rFonts w:ascii="仿宋_GB2312" w:hAnsi="仿宋_GB2312" w:cs="仿宋_GB2312" w:eastAsia="仿宋_GB2312"/>
              </w:rPr>
              <w:t>:《WW/T0089-2018 博物馆陈列展览形式设计与施工规范》《GB/T23863-2024博物馆照明设计规范》基本要求。如有未特别注明需执行的国家相关标准、行业标准、地方标准或者其他标准、规范，则统一执行最新标准、规范。</w:t>
            </w:r>
          </w:p>
          <w:p>
            <w:pPr>
              <w:pStyle w:val="null3"/>
              <w:ind w:firstLine="221"/>
            </w:pPr>
            <w:r>
              <w:rPr>
                <w:rFonts w:ascii="仿宋_GB2312" w:hAnsi="仿宋_GB2312" w:cs="仿宋_GB2312" w:eastAsia="仿宋_GB2312"/>
                <w:b/>
              </w:rPr>
              <w:t>2、</w:t>
            </w:r>
            <w:r>
              <w:rPr>
                <w:rFonts w:ascii="仿宋_GB2312" w:hAnsi="仿宋_GB2312" w:cs="仿宋_GB2312" w:eastAsia="仿宋_GB2312"/>
                <w:b/>
              </w:rPr>
              <w:t>服务指标的具体要求</w:t>
            </w:r>
          </w:p>
          <w:p>
            <w:pPr>
              <w:pStyle w:val="null3"/>
              <w:ind w:firstLine="220"/>
            </w:pPr>
            <w:r>
              <w:rPr>
                <w:rFonts w:ascii="仿宋_GB2312" w:hAnsi="仿宋_GB2312" w:cs="仿宋_GB2312" w:eastAsia="仿宋_GB2312"/>
              </w:rPr>
              <w:t>(1)服务内容:</w:t>
            </w:r>
          </w:p>
          <w:p>
            <w:pPr>
              <w:pStyle w:val="null3"/>
            </w:pPr>
            <w:r>
              <w:rPr>
                <w:rFonts w:ascii="仿宋_GB2312" w:hAnsi="仿宋_GB2312" w:cs="仿宋_GB2312" w:eastAsia="仿宋_GB2312"/>
              </w:rPr>
              <w:t>内容与形式设计、基础装修、陈列布展</w:t>
            </w:r>
            <w:r>
              <w:rPr>
                <w:rFonts w:ascii="仿宋_GB2312" w:hAnsi="仿宋_GB2312" w:cs="仿宋_GB2312" w:eastAsia="仿宋_GB2312"/>
              </w:rPr>
              <w:t>(文物布展)、空调工程、安防消防工程、候展室等</w:t>
            </w:r>
            <w:r>
              <w:rPr>
                <w:rFonts w:ascii="仿宋_GB2312" w:hAnsi="仿宋_GB2312" w:cs="仿宋_GB2312" w:eastAsia="仿宋_GB2312"/>
              </w:rPr>
              <w:t>。</w:t>
            </w:r>
          </w:p>
          <w:p>
            <w:pPr>
              <w:pStyle w:val="null3"/>
              <w:ind w:firstLine="220"/>
            </w:pPr>
            <w:r>
              <w:rPr>
                <w:rFonts w:ascii="仿宋_GB2312" w:hAnsi="仿宋_GB2312" w:cs="仿宋_GB2312" w:eastAsia="仿宋_GB2312"/>
              </w:rPr>
              <w:t>(2)技术要求：</w:t>
            </w:r>
          </w:p>
          <w:p>
            <w:pPr>
              <w:pStyle w:val="null3"/>
              <w:ind w:firstLine="220"/>
            </w:pPr>
            <w:r>
              <w:rPr>
                <w:rFonts w:ascii="仿宋_GB2312" w:hAnsi="仿宋_GB2312" w:cs="仿宋_GB2312" w:eastAsia="仿宋_GB2312"/>
              </w:rPr>
              <w:t>西岳庙基本陈列</w:t>
            </w:r>
            <w:r>
              <w:rPr>
                <w:rFonts w:ascii="仿宋_GB2312" w:hAnsi="仿宋_GB2312" w:cs="仿宋_GB2312" w:eastAsia="仿宋_GB2312"/>
              </w:rPr>
              <w:t>(含智取华山革命事迹展)提升改造项目，要求按照采购人的《陈列大纲》《展厅平面图》及设计要求,进行总体设计、装饰装修施工。</w:t>
            </w:r>
          </w:p>
          <w:p>
            <w:pPr>
              <w:pStyle w:val="null3"/>
              <w:ind w:firstLine="220"/>
            </w:pPr>
            <w:r>
              <w:rPr>
                <w:rFonts w:ascii="仿宋_GB2312" w:hAnsi="仿宋_GB2312" w:cs="仿宋_GB2312" w:eastAsia="仿宋_GB2312"/>
              </w:rPr>
              <w:t>1)内容与形式设计要求：需在充分理解陈列大纲的基础上，结合以下要求进行设计，设计方案要求理念创新，与展览陈列大纲内容协调而统一；艺术风格鲜明，既雄浑大气，又精妙雅致，突出艺术感，雅俗共赏。</w:t>
            </w:r>
          </w:p>
          <w:p>
            <w:pPr>
              <w:pStyle w:val="null3"/>
              <w:ind w:firstLine="220"/>
            </w:pPr>
            <w:r>
              <w:rPr>
                <w:rFonts w:ascii="仿宋_GB2312" w:hAnsi="仿宋_GB2312" w:cs="仿宋_GB2312" w:eastAsia="仿宋_GB2312"/>
              </w:rPr>
              <w:t>2)基础装修要求：满足展览展示需求。</w:t>
            </w:r>
          </w:p>
          <w:p>
            <w:pPr>
              <w:pStyle w:val="null3"/>
              <w:ind w:firstLine="220"/>
            </w:pPr>
            <w:r>
              <w:rPr>
                <w:rFonts w:ascii="仿宋_GB2312" w:hAnsi="仿宋_GB2312" w:cs="仿宋_GB2312" w:eastAsia="仿宋_GB2312"/>
              </w:rPr>
              <w:t>3)陈列布展(文物布展)要求：满足展览展示需求。</w:t>
            </w:r>
          </w:p>
          <w:p>
            <w:pPr>
              <w:pStyle w:val="null3"/>
              <w:ind w:firstLine="220"/>
            </w:pPr>
            <w:r>
              <w:rPr>
                <w:rFonts w:ascii="仿宋_GB2312" w:hAnsi="仿宋_GB2312" w:cs="仿宋_GB2312" w:eastAsia="仿宋_GB2312"/>
              </w:rPr>
              <w:t>4)空调工程要求：满足展览展示需求。</w:t>
            </w:r>
          </w:p>
          <w:p>
            <w:pPr>
              <w:pStyle w:val="null3"/>
              <w:ind w:firstLine="220"/>
            </w:pPr>
            <w:r>
              <w:rPr>
                <w:rFonts w:ascii="仿宋_GB2312" w:hAnsi="仿宋_GB2312" w:cs="仿宋_GB2312" w:eastAsia="仿宋_GB2312"/>
              </w:rPr>
              <w:t>5)安防消防工程要求：达到国家标准，满足展览展示需求。</w:t>
            </w:r>
          </w:p>
          <w:p>
            <w:pPr>
              <w:pStyle w:val="null3"/>
              <w:ind w:firstLine="220"/>
            </w:pPr>
            <w:r>
              <w:rPr>
                <w:rFonts w:ascii="仿宋_GB2312" w:hAnsi="仿宋_GB2312" w:cs="仿宋_GB2312" w:eastAsia="仿宋_GB2312"/>
              </w:rPr>
              <w:t>6)候展室要求：满足展览展示需求。</w:t>
            </w:r>
          </w:p>
          <w:p>
            <w:pPr>
              <w:pStyle w:val="null3"/>
              <w:ind w:firstLine="220"/>
            </w:pPr>
            <w:r>
              <w:rPr>
                <w:rFonts w:ascii="仿宋_GB2312" w:hAnsi="仿宋_GB2312" w:cs="仿宋_GB2312" w:eastAsia="仿宋_GB2312"/>
              </w:rPr>
              <w:t>7)其他要求：</w:t>
            </w:r>
          </w:p>
          <w:p>
            <w:pPr>
              <w:pStyle w:val="null3"/>
              <w:ind w:firstLine="220"/>
            </w:pPr>
            <w:r>
              <w:rPr>
                <w:rFonts w:ascii="仿宋_GB2312" w:hAnsi="仿宋_GB2312" w:cs="仿宋_GB2312" w:eastAsia="仿宋_GB2312"/>
              </w:rPr>
              <w:t>①中标(成交)供应商负责项目工作会议涉及项目方案的汇报工作，负责提供会议汇报材料、设计成果等。在项目工作过程和成果汇报过程中与采购人密切配合，并根据采购人要求进一步深化设计，提交装饰施工图等系列设计文件、照明及展柜施工图及技术参数等，采购人不再为设计支付任何费用。</w:t>
            </w:r>
          </w:p>
          <w:p>
            <w:pPr>
              <w:pStyle w:val="null3"/>
              <w:ind w:firstLine="220"/>
            </w:pPr>
            <w:r>
              <w:rPr>
                <w:rFonts w:ascii="仿宋_GB2312" w:hAnsi="仿宋_GB2312" w:cs="仿宋_GB2312" w:eastAsia="仿宋_GB2312"/>
              </w:rPr>
              <w:t>②中标(成交)供应商针对本项目设计成果的知识产权归于采购人。未经采购人同意，不得向第三方转让或将本设计方案用于其他项目，如发生以上情况并给采购人造成损失，采购人有权提出索赔。</w:t>
            </w:r>
          </w:p>
          <w:p>
            <w:pPr>
              <w:pStyle w:val="null3"/>
              <w:ind w:firstLine="220"/>
            </w:pPr>
            <w:r>
              <w:rPr>
                <w:rFonts w:ascii="仿宋_GB2312" w:hAnsi="仿宋_GB2312" w:cs="仿宋_GB2312" w:eastAsia="仿宋_GB2312"/>
              </w:rPr>
              <w:t>③在服务期间，若国家、省、市或行业出台其他最新规范标准，中标(成交)供应商应以最新出台的规范为准修改设计方案，满足采购人对本项目的使用要求。</w:t>
            </w:r>
          </w:p>
          <w:p>
            <w:pPr>
              <w:pStyle w:val="null3"/>
              <w:ind w:firstLine="220"/>
            </w:pPr>
            <w:r>
              <w:rPr>
                <w:rFonts w:ascii="仿宋_GB2312" w:hAnsi="仿宋_GB2312" w:cs="仿宋_GB2312" w:eastAsia="仿宋_GB2312"/>
              </w:rPr>
              <w:t>(3)</w:t>
            </w:r>
            <w:r>
              <w:rPr>
                <w:rFonts w:ascii="仿宋_GB2312" w:hAnsi="仿宋_GB2312" w:cs="仿宋_GB2312" w:eastAsia="仿宋_GB2312"/>
              </w:rPr>
              <w:t>质量要求：设计质量标准：符合国家、省、市、行业设计规范及强制条款要求</w:t>
            </w:r>
            <w:r>
              <w:rPr>
                <w:rFonts w:ascii="仿宋_GB2312" w:hAnsi="仿宋_GB2312" w:cs="仿宋_GB2312" w:eastAsia="仿宋_GB2312"/>
              </w:rPr>
              <w:t>;施工质量标准：达到国家现行施工验收规范“合格”标准。</w:t>
            </w:r>
          </w:p>
          <w:p>
            <w:pPr>
              <w:pStyle w:val="null3"/>
            </w:pPr>
            <w:r>
              <w:rPr>
                <w:rFonts w:ascii="仿宋_GB2312" w:hAnsi="仿宋_GB2312" w:cs="仿宋_GB2312" w:eastAsia="仿宋_GB2312"/>
                <w:b/>
              </w:rPr>
              <w:t>二</w:t>
            </w:r>
            <w:r>
              <w:rPr>
                <w:rFonts w:ascii="仿宋_GB2312" w:hAnsi="仿宋_GB2312" w:cs="仿宋_GB2312" w:eastAsia="仿宋_GB2312"/>
                <w:b/>
              </w:rPr>
              <w:t>、服务质量、标准、期限、效率等要求</w:t>
            </w:r>
          </w:p>
          <w:p>
            <w:pPr>
              <w:pStyle w:val="null3"/>
              <w:ind w:firstLine="220"/>
            </w:pPr>
            <w:r>
              <w:rPr>
                <w:rFonts w:ascii="仿宋_GB2312" w:hAnsi="仿宋_GB2312" w:cs="仿宋_GB2312" w:eastAsia="仿宋_GB2312"/>
              </w:rPr>
              <w:t>1、设计质量标准：符合国家、省、市、行业设计规范及强制条款要求;施工质量标准：达到国家现行施工验收规范“合格”标准。</w:t>
            </w:r>
          </w:p>
          <w:p>
            <w:pPr>
              <w:pStyle w:val="null3"/>
              <w:ind w:firstLine="220"/>
            </w:pPr>
            <w:r>
              <w:rPr>
                <w:rFonts w:ascii="仿宋_GB2312" w:hAnsi="仿宋_GB2312" w:cs="仿宋_GB2312" w:eastAsia="仿宋_GB2312"/>
              </w:rPr>
              <w:t>2、供应商须指派专人作为项目负责人，负责管理本项目的所有事项，未经采购人同意不得随意更换负责人。</w:t>
            </w:r>
          </w:p>
          <w:p>
            <w:pPr>
              <w:pStyle w:val="null3"/>
            </w:pPr>
            <w:r>
              <w:rPr>
                <w:rFonts w:ascii="仿宋_GB2312" w:hAnsi="仿宋_GB2312" w:cs="仿宋_GB2312" w:eastAsia="仿宋_GB2312"/>
                <w:b/>
              </w:rPr>
              <w:t>三</w:t>
            </w:r>
            <w:r>
              <w:rPr>
                <w:rFonts w:ascii="仿宋_GB2312" w:hAnsi="仿宋_GB2312" w:cs="仿宋_GB2312" w:eastAsia="仿宋_GB2312"/>
                <w:b/>
              </w:rPr>
              <w:t>、付款方式</w:t>
            </w:r>
          </w:p>
          <w:p>
            <w:pPr>
              <w:pStyle w:val="null3"/>
            </w:pPr>
            <w:r>
              <w:rPr>
                <w:rFonts w:ascii="仿宋_GB2312" w:hAnsi="仿宋_GB2312" w:cs="仿宋_GB2312" w:eastAsia="仿宋_GB2312"/>
                <w:sz w:val="21"/>
              </w:rPr>
              <w:t>1.合同签订后 ，达到付款条件起 30 日内，支付合同总金额的 40.00%；</w:t>
            </w:r>
          </w:p>
          <w:p>
            <w:pPr>
              <w:pStyle w:val="null3"/>
            </w:pPr>
            <w:r>
              <w:rPr>
                <w:rFonts w:ascii="仿宋_GB2312" w:hAnsi="仿宋_GB2312" w:cs="仿宋_GB2312" w:eastAsia="仿宋_GB2312"/>
                <w:sz w:val="21"/>
              </w:rPr>
              <w:t>2.基础装修改造完成后 ，达到付款条件起 30 日内，支付合同总金额的 20.00% ；</w:t>
            </w:r>
          </w:p>
          <w:p>
            <w:pPr>
              <w:pStyle w:val="null3"/>
            </w:pPr>
            <w:r>
              <w:rPr>
                <w:rFonts w:ascii="仿宋_GB2312" w:hAnsi="仿宋_GB2312" w:cs="仿宋_GB2312" w:eastAsia="仿宋_GB2312"/>
                <w:sz w:val="21"/>
              </w:rPr>
              <w:t>3.展览验收合格后 ，达到付款条件起 30 日内，支付合同总金额的 37.00% ；</w:t>
            </w:r>
          </w:p>
          <w:p>
            <w:pPr>
              <w:pStyle w:val="null3"/>
            </w:pPr>
            <w:r>
              <w:rPr>
                <w:rFonts w:ascii="仿宋_GB2312" w:hAnsi="仿宋_GB2312" w:cs="仿宋_GB2312" w:eastAsia="仿宋_GB2312"/>
                <w:sz w:val="21"/>
              </w:rPr>
              <w:t>4.整体质保满一年后 ，达到付款条件起 30 日内，支付合同总金额的 3.00% 。</w:t>
            </w:r>
          </w:p>
          <w:p>
            <w:pPr>
              <w:pStyle w:val="null3"/>
            </w:pPr>
            <w:r>
              <w:rPr>
                <w:rFonts w:ascii="仿宋_GB2312" w:hAnsi="仿宋_GB2312" w:cs="仿宋_GB2312" w:eastAsia="仿宋_GB2312"/>
                <w:b/>
              </w:rPr>
              <w:t>四</w:t>
            </w:r>
            <w:r>
              <w:rPr>
                <w:rFonts w:ascii="仿宋_GB2312" w:hAnsi="仿宋_GB2312" w:cs="仿宋_GB2312" w:eastAsia="仿宋_GB2312"/>
                <w:b/>
              </w:rPr>
              <w:t>、验收标准</w:t>
            </w:r>
          </w:p>
          <w:p>
            <w:pPr>
              <w:pStyle w:val="null3"/>
            </w:pPr>
            <w:r>
              <w:rPr>
                <w:rFonts w:ascii="仿宋_GB2312" w:hAnsi="仿宋_GB2312" w:cs="仿宋_GB2312" w:eastAsia="仿宋_GB2312"/>
                <w:sz w:val="21"/>
              </w:rPr>
              <w:t>满足采购内容及要求，按时完成所有服务项目，符合国家</w:t>
            </w:r>
            <w:r>
              <w:rPr>
                <w:rFonts w:ascii="仿宋_GB2312" w:hAnsi="仿宋_GB2312" w:cs="仿宋_GB2312" w:eastAsia="仿宋_GB2312"/>
                <w:sz w:val="21"/>
              </w:rPr>
              <w:t>(行业)强制性标准，验收服务达到采购人要求。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180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满足采购内容及要求，按时完成所有服务项目，符合国家(行业)强制性标准，验收服务达到采购人要求。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基础装修改造完成后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展览验收合格后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整体质保满一年后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双方友好协商，协商不成可向项目所在地人民法院起诉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中标人在领取中标通知书时须提供纸质响应文件正本壹份、副本贰份用于存档。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投标人须同时具备以下资质：①具有建筑装饰工程设计专项乙级及以上资质； ②具有建筑装修装饰工程专业承包二级资质及以上；具备有效的安全生产许可证;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拟派项目经理具备建筑工程专业二级及以上注册建造师执业资格并具备有效的安全生产考核合格证，且在本单位注册(提供近六个月在本单位缴纳的社保证明)，无在建项目(提供承诺书)；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项目设计负责人</w:t>
            </w:r>
          </w:p>
        </w:tc>
        <w:tc>
          <w:tcPr>
            <w:tcW w:type="dxa" w:w="3322"/>
          </w:tcPr>
          <w:p>
            <w:pPr>
              <w:pStyle w:val="null3"/>
            </w:pPr>
            <w:r>
              <w:rPr>
                <w:rFonts w:ascii="仿宋_GB2312" w:hAnsi="仿宋_GB2312" w:cs="仿宋_GB2312" w:eastAsia="仿宋_GB2312"/>
              </w:rPr>
              <w:t>项目设计负责人具有建筑类或设计或环境艺术类相关专业中级及以上职称(提供近六个月在本单位缴纳的社保证明)；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法定代表人资格证明书或法定代表人授权委托书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投标报价是固定价且唯一，不得提交选择性报价，且投标报价不得高于等于最高投标限价。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投标单位名称</w:t>
            </w:r>
          </w:p>
        </w:tc>
        <w:tc>
          <w:tcPr>
            <w:tcW w:type="dxa" w:w="3322"/>
          </w:tcPr>
          <w:p>
            <w:pPr>
              <w:pStyle w:val="null3"/>
            </w:pPr>
            <w:r>
              <w:rPr>
                <w:rFonts w:ascii="仿宋_GB2312" w:hAnsi="仿宋_GB2312" w:cs="仿宋_GB2312" w:eastAsia="仿宋_GB2312"/>
              </w:rPr>
              <w:t>投标单位名称与营业执照等资料相一致</w:t>
            </w:r>
          </w:p>
        </w:tc>
        <w:tc>
          <w:tcPr>
            <w:tcW w:type="dxa" w:w="1661"/>
          </w:tcPr>
          <w:p>
            <w:pPr>
              <w:pStyle w:val="null3"/>
            </w:pPr>
            <w:r>
              <w:rPr>
                <w:rFonts w:ascii="仿宋_GB2312" w:hAnsi="仿宋_GB2312" w:cs="仿宋_GB2312" w:eastAsia="仿宋_GB2312"/>
              </w:rPr>
              <w:t>开标一览表 业绩.docx 服务内容及服务邀请应答表 商务.docx 中小企业声明函 商务应答表.docx 资格证明文件.docx 分项报价表.docx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业绩.docx 服务内容及服务邀请应答表 商务.docx 中小企业声明函 商务应答表.docx 资格证明文件.docx 分项报价表.docx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服务期限、投标有效期等符合采购文件要求</w:t>
            </w:r>
          </w:p>
        </w:tc>
        <w:tc>
          <w:tcPr>
            <w:tcW w:type="dxa" w:w="1661"/>
          </w:tcPr>
          <w:p>
            <w:pPr>
              <w:pStyle w:val="null3"/>
            </w:pPr>
            <w:r>
              <w:rPr>
                <w:rFonts w:ascii="仿宋_GB2312" w:hAnsi="仿宋_GB2312" w:cs="仿宋_GB2312" w:eastAsia="仿宋_GB2312"/>
              </w:rPr>
              <w:t>投标函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 解程度</w:t>
            </w:r>
          </w:p>
        </w:tc>
        <w:tc>
          <w:tcPr>
            <w:tcW w:type="dxa" w:w="2492"/>
          </w:tcPr>
          <w:p>
            <w:pPr>
              <w:pStyle w:val="null3"/>
            </w:pPr>
            <w:r>
              <w:rPr>
                <w:rFonts w:ascii="仿宋_GB2312" w:hAnsi="仿宋_GB2312" w:cs="仿宋_GB2312" w:eastAsia="仿宋_GB2312"/>
              </w:rPr>
              <w:t>针对本项目提供对项目的理解，包括但不限于①项目背景、内容及意义的理解；②项目重点难点分析及应对措施；③对项目功能定位和展陈需求的理解；④对展示及实施工作的理解。 （1）4 项完整且针对性强（如结合项目所在地文化特色、明确文物展陈难点应对技术），得 8 分； （2）每缺少一项或某项内容完全套用、明显偏离需求的，扣2分； （3）每一项内容空泛、措施不具针对性的，每处扣1分； （4）扣完为止。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针对本项目提供项目实施方案，包括但不限于：①总体实施方案； ②设计实施方案③基础装修方案；④陈列布展实施方案；⑤空调工程方案；⑥安防消防工程方案；⑦候展室实施方案 （1）7 项完整且符合施工规范（含文物区域施工流程），得 15 分； （2）每缺少一项或某项内容完全套用、明显偏离需求的，扣2分； （3）每一项内容空泛、措施不具针对性的，每处扣1分； （4）未提供不得分。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针对本项目提供深化设计方案，包括但不限于①设计标准、设计风格；②设计元素与项目主题。 （1）完全满足项目采购要求，得 14分； （2）必须列明所依据的国标、行标或博物馆相关规范名称，未列明扣2分； （3）风格与主题基本适配，但文化特色融入不足（仅提及地域文化，未体现在色彩、材质等设计细节中），或部分设计细节不符合文物保护要求，扣 2分 （4）设计元素与项目主题无实质关联（如元素与文博展陈主题脱节），扣2分； （5）未提供不得分。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 保障措施</w:t>
            </w:r>
          </w:p>
        </w:tc>
        <w:tc>
          <w:tcPr>
            <w:tcW w:type="dxa" w:w="2492"/>
          </w:tcPr>
          <w:p>
            <w:pPr>
              <w:pStyle w:val="null3"/>
            </w:pPr>
            <w:r>
              <w:rPr>
                <w:rFonts w:ascii="仿宋_GB2312" w:hAnsi="仿宋_GB2312" w:cs="仿宋_GB2312" w:eastAsia="仿宋_GB2312"/>
              </w:rPr>
              <w:t>针对本项目提供服务质量保障措施，包括但不限于①质量目标管理体系；②确保质量的技术组织措施；③施工质量控制措施；④服务质量承诺。 （1）4 项符合本项目采购需求且描述详细（如质量承诺含质保期内文物展具维修响应时限），得 8 分； （2）以上分项每缺少一项内容扣2分； （3）无项目针对性、完全套用模板，扣2 分 （4）措施内容空洞、无项目针对性的：内容较空泛但有基础框架，扣1分；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针对本项目提供进度计划保障措施，包括但不限于①进度计划安排；②进度保障措施。 （1）2项符合本项目采购需求且描述详细（如进度计划含文物进场、布展等关键节点时间；保障措施含延误后的赶工方案），得 8 分； （2）以上分项每缺少一项内容扣4分； （3）无针对性且关键节点缺失，扣 3 分； （4）措施内容空洞、无项目针对性的：内容较空泛，扣 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针对本项目提供安全施工措施，包括但不限于①安全管理制度；②安全施工措施；③文物保护措施；④现场安全巡查与隐患闭环管理措施。 （1）4项核心措施均完整，符合采购需求及文物保护、安全施工相关规范，得 8 分； （2）以上分项每缺少一项内容扣2分； （3）无项目针对性、完全套用模板，扣2 分； （4）措施内容空洞、无项目针对性的：内容较空泛但有基础框架，扣1 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针对本项目提供应急预案，包括但不限于①应急响应时效；②应急响应保障方案和人员；③紧急医疗救援；④应对突发事件的处理措施。 （1）4 项核心内容完整且含文物应急（如文物碰撞后修复对接流程），得 6 分； （2）以上分项每缺少一项内容扣1.5分； （3）有某一项不完整或不符合实际要求或不满足实施要求或套用其他项目内容的每项得1.5分；（4）未提供不得分。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针对本项目采购需求中的人员要求提供团队人员配备方案，包括但不限于①团队组织架构②人员构成及分工；③岗位设置及岗位责任制度。 （1）核心内容均完整，组织架构清晰适配项目需求，人员构成专业（含文物保护、施工管理等关键岗位）、分工明确的，得3分； （2）以上分项每缺少一项内容扣1分； （3）有某一项不完整或不符合实际要求或不满足实施要求或套用其他项目内容的每项得1分；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（1）拟派项目设计负责人具备建筑类或设计或环境艺术类相关专业高级及以上职称得3分； （2）拟派项目设计负责人提供2023年1月1日至投标截止之日的类似业绩（展陈设计或文博类装修项目），提供一个得1分，满分3分。以合同作为证明文件（以签订时间为准），提供合同复印件。合同中应明确负责人姓名；若合同未明确，则须提供相应的负责人任命文件作为补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商务.docx</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1）拟派项目经理提供2023年1月1日至投标截止之日的类似业绩（展陈设计或文博类装修项目），提供一个得1分，满分3分。以合同作为证明文件（以签订时间为准），提供合同复印件。合同中应明确项目经理姓名；若合同未明确，则须提供相应的项目经理任命文件作为补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2023年1月1日至投标截止之日，承接过展陈设计或文博类装修项目业绩: 每提供一个业绩证明材料计2分， 满分6分。以合同作为证明文件（以签订时间为准），提供合同复印件。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报价得分=（评审基准价/投标报价）×15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